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BAA13">
      <w:pPr>
        <w:pStyle w:val="7"/>
        <w:jc w:val="center"/>
        <w:rPr>
          <w:rFonts w:hint="eastAsia"/>
          <w:sz w:val="56"/>
          <w:szCs w:val="56"/>
          <w:lang w:eastAsia="zh-CN"/>
        </w:rPr>
      </w:pPr>
      <w:r>
        <w:rPr>
          <w:rFonts w:hint="eastAsia"/>
          <w:sz w:val="56"/>
          <w:szCs w:val="56"/>
          <w:lang w:eastAsia="zh-CN"/>
        </w:rPr>
        <w:t>环江毛南族自治县思恩镇扶贫站</w:t>
      </w:r>
    </w:p>
    <w:p w14:paraId="233A891E">
      <w:pPr>
        <w:pStyle w:val="7"/>
        <w:jc w:val="center"/>
        <w:rPr>
          <w:sz w:val="56"/>
          <w:szCs w:val="56"/>
        </w:rPr>
        <w:sectPr>
          <w:type w:val="continuous"/>
          <w:pgSz w:w="11900" w:h="16840" w:orient="landscape"/>
          <w:pgMar w:top="4713" w:right="1913" w:bottom="4713" w:left="2020" w:header="4285" w:footer="2381" w:gutter="0"/>
          <w:pgNumType w:start="1"/>
          <w:cols w:space="720" w:num="1"/>
        </w:sectPr>
      </w:pPr>
      <w:r>
        <w:rPr>
          <w:rFonts w:hint="eastAsia"/>
          <w:sz w:val="56"/>
          <w:szCs w:val="56"/>
          <w:lang w:eastAsia="zh-CN"/>
        </w:rPr>
        <w:t>2024</w:t>
      </w:r>
      <w:r>
        <w:rPr>
          <w:rFonts w:hint="eastAsia" w:asciiTheme="majorEastAsia" w:hAnsiTheme="majorEastAsia" w:eastAsiaTheme="majorEastAsia" w:cstheme="majorEastAsia"/>
          <w:sz w:val="56"/>
          <w:szCs w:val="56"/>
        </w:rPr>
        <w:t>年度部门预算</w:t>
      </w:r>
    </w:p>
    <w:p w14:paraId="52DFB03F">
      <w:pPr>
        <w:pStyle w:val="8"/>
        <w:keepNext/>
        <w:keepLines/>
        <w:spacing w:after="240"/>
        <w:jc w:val="center"/>
      </w:pPr>
      <w:bookmarkStart w:id="0" w:name="bookmark2"/>
      <w:bookmarkStart w:id="1" w:name="bookmark0"/>
      <w:bookmarkStart w:id="2" w:name="bookmark1"/>
      <w:r>
        <w:t>目录</w:t>
      </w:r>
      <w:bookmarkEnd w:id="0"/>
      <w:bookmarkEnd w:id="1"/>
      <w:bookmarkEnd w:id="2"/>
    </w:p>
    <w:p w14:paraId="26648669">
      <w:pPr>
        <w:pStyle w:val="9"/>
        <w:ind w:left="0" w:firstLine="320"/>
        <w:jc w:val="left"/>
      </w:pPr>
      <w:r>
        <w:t>第一部分</w:t>
      </w:r>
      <w:r>
        <w:rPr>
          <w:rFonts w:hint="eastAsia"/>
          <w:lang w:eastAsia="zh-CN"/>
        </w:rPr>
        <w:t>：</w:t>
      </w:r>
      <w:r>
        <w:t>环江毛南族自治县思恩镇扶贫站单位概况</w:t>
      </w:r>
    </w:p>
    <w:p w14:paraId="3116005F">
      <w:pPr>
        <w:pStyle w:val="9"/>
        <w:jc w:val="left"/>
      </w:pPr>
      <w:r>
        <w:rPr>
          <w:lang w:val="en-US" w:eastAsia="zh-CN" w:bidi="en-US"/>
        </w:rPr>
        <w:t>—</w:t>
      </w:r>
      <w:r>
        <w:t>、主要职责</w:t>
      </w:r>
    </w:p>
    <w:p w14:paraId="7FAA8F31">
      <w:pPr>
        <w:pStyle w:val="9"/>
        <w:jc w:val="left"/>
        <w:rPr>
          <w:rFonts w:hint="eastAsia"/>
        </w:rPr>
      </w:pPr>
      <w:r>
        <w:rPr>
          <w:rFonts w:hint="eastAsia"/>
          <w:lang w:val="en-US" w:eastAsia="zh-CN"/>
        </w:rPr>
        <w:t>二、</w:t>
      </w:r>
      <w:r>
        <w:rPr>
          <w:rFonts w:hint="eastAsia"/>
        </w:rPr>
        <w:t>机构设置情况</w:t>
      </w:r>
    </w:p>
    <w:p w14:paraId="0CA86F16">
      <w:pPr>
        <w:pStyle w:val="9"/>
        <w:ind w:left="0" w:firstLine="320"/>
        <w:jc w:val="left"/>
      </w:pPr>
      <w:r>
        <w:t>第二部分</w:t>
      </w:r>
      <w:r>
        <w:rPr>
          <w:rFonts w:hint="eastAsia"/>
          <w:lang w:eastAsia="zh-CN"/>
        </w:rPr>
        <w:t>：</w:t>
      </w:r>
      <w:r>
        <w:t>环江毛南族自治县思恩镇扶贫站2024部门预算情况说明</w:t>
      </w:r>
    </w:p>
    <w:p w14:paraId="08E99318">
      <w:pPr>
        <w:pStyle w:val="9"/>
        <w:numPr>
          <w:ilvl w:val="0"/>
          <w:numId w:val="0"/>
        </w:numPr>
        <w:ind w:firstLine="640"/>
        <w:jc w:val="left"/>
        <w:rPr>
          <w:rFonts w:hint="eastAsia"/>
        </w:rPr>
      </w:pPr>
      <w:r>
        <w:rPr>
          <w:rFonts w:hint="eastAsia"/>
        </w:rPr>
        <w:t>一、部门收支总体情况说明</w:t>
      </w:r>
    </w:p>
    <w:p w14:paraId="0D4CC8F7">
      <w:pPr>
        <w:pStyle w:val="9"/>
        <w:numPr>
          <w:ilvl w:val="0"/>
          <w:numId w:val="0"/>
        </w:numPr>
        <w:ind w:firstLine="640"/>
        <w:jc w:val="left"/>
        <w:rPr>
          <w:rFonts w:hint="eastAsia"/>
        </w:rPr>
      </w:pPr>
      <w:r>
        <w:rPr>
          <w:rFonts w:hint="eastAsia"/>
        </w:rPr>
        <w:t>二、部门收入总体情况说明</w:t>
      </w:r>
    </w:p>
    <w:p w14:paraId="002071F4">
      <w:pPr>
        <w:pStyle w:val="9"/>
        <w:numPr>
          <w:ilvl w:val="0"/>
          <w:numId w:val="0"/>
        </w:numPr>
        <w:ind w:firstLine="640"/>
        <w:jc w:val="left"/>
        <w:rPr>
          <w:rFonts w:hint="eastAsia"/>
        </w:rPr>
      </w:pPr>
      <w:r>
        <w:rPr>
          <w:rFonts w:hint="eastAsia"/>
        </w:rPr>
        <w:t>三、部门支出总体情况说明</w:t>
      </w:r>
    </w:p>
    <w:p w14:paraId="36958BC8">
      <w:pPr>
        <w:pStyle w:val="9"/>
        <w:numPr>
          <w:ilvl w:val="0"/>
          <w:numId w:val="0"/>
        </w:numPr>
        <w:ind w:firstLine="640"/>
        <w:jc w:val="left"/>
        <w:rPr>
          <w:rFonts w:hint="eastAsia"/>
        </w:rPr>
      </w:pPr>
      <w:r>
        <w:rPr>
          <w:rFonts w:hint="eastAsia"/>
        </w:rPr>
        <w:t>四、财政拨款收支总体情况说明</w:t>
      </w:r>
    </w:p>
    <w:p w14:paraId="15CC941C">
      <w:pPr>
        <w:pStyle w:val="9"/>
        <w:numPr>
          <w:ilvl w:val="0"/>
          <w:numId w:val="0"/>
        </w:numPr>
        <w:ind w:firstLine="640"/>
        <w:jc w:val="left"/>
        <w:rPr>
          <w:rFonts w:hint="eastAsia"/>
        </w:rPr>
      </w:pPr>
      <w:r>
        <w:rPr>
          <w:rFonts w:hint="eastAsia"/>
        </w:rPr>
        <w:t>五、一般公共预算支出情况说明</w:t>
      </w:r>
    </w:p>
    <w:p w14:paraId="0B4A73B5">
      <w:pPr>
        <w:pStyle w:val="9"/>
        <w:numPr>
          <w:ilvl w:val="0"/>
          <w:numId w:val="0"/>
        </w:numPr>
        <w:ind w:firstLine="640"/>
        <w:jc w:val="left"/>
        <w:rPr>
          <w:rFonts w:hint="eastAsia"/>
        </w:rPr>
      </w:pPr>
      <w:r>
        <w:rPr>
          <w:rFonts w:hint="eastAsia"/>
        </w:rPr>
        <w:t>六、一般公共预算基本支出情况说明</w:t>
      </w:r>
    </w:p>
    <w:p w14:paraId="26F7E741">
      <w:pPr>
        <w:pStyle w:val="9"/>
        <w:numPr>
          <w:ilvl w:val="0"/>
          <w:numId w:val="0"/>
        </w:numPr>
        <w:ind w:firstLine="640"/>
        <w:jc w:val="left"/>
        <w:rPr>
          <w:rFonts w:hint="eastAsia"/>
        </w:rPr>
      </w:pPr>
      <w:r>
        <w:rPr>
          <w:rFonts w:hint="eastAsia"/>
        </w:rPr>
        <w:t>七、一般公共预算“三公”经费支出情况说明</w:t>
      </w:r>
    </w:p>
    <w:p w14:paraId="2706049A">
      <w:pPr>
        <w:pStyle w:val="9"/>
        <w:numPr>
          <w:ilvl w:val="0"/>
          <w:numId w:val="0"/>
        </w:numPr>
        <w:ind w:firstLine="640"/>
        <w:jc w:val="left"/>
        <w:rPr>
          <w:rFonts w:hint="eastAsia"/>
        </w:rPr>
      </w:pPr>
      <w:r>
        <w:rPr>
          <w:rFonts w:hint="eastAsia"/>
        </w:rPr>
        <w:t>八、政府性基金预算支出情况说明</w:t>
      </w:r>
    </w:p>
    <w:p w14:paraId="3F702FA4">
      <w:pPr>
        <w:pStyle w:val="9"/>
        <w:numPr>
          <w:ilvl w:val="0"/>
          <w:numId w:val="0"/>
        </w:numPr>
        <w:ind w:firstLine="640"/>
        <w:jc w:val="left"/>
        <w:rPr>
          <w:rFonts w:hint="eastAsia"/>
        </w:rPr>
      </w:pPr>
      <w:r>
        <w:rPr>
          <w:rFonts w:hint="eastAsia"/>
        </w:rPr>
        <w:t>九、国有资本经营预算支出情况说明</w:t>
      </w:r>
    </w:p>
    <w:p w14:paraId="0DDF8142">
      <w:pPr>
        <w:pStyle w:val="9"/>
        <w:numPr>
          <w:ilvl w:val="0"/>
          <w:numId w:val="0"/>
        </w:numPr>
        <w:ind w:firstLine="640"/>
        <w:jc w:val="left"/>
      </w:pPr>
      <w:r>
        <w:rPr>
          <w:rFonts w:hint="eastAsia"/>
        </w:rPr>
        <w:t>十、其他重要事项情况说明</w:t>
      </w:r>
    </w:p>
    <w:p w14:paraId="2BCD0A4E">
      <w:pPr>
        <w:pStyle w:val="9"/>
        <w:ind w:left="0" w:firstLine="320"/>
        <w:jc w:val="left"/>
      </w:pPr>
      <w:r>
        <w:t>第三部分</w:t>
      </w:r>
      <w:r>
        <w:rPr>
          <w:rFonts w:hint="eastAsia"/>
          <w:lang w:eastAsia="zh-CN"/>
        </w:rPr>
        <w:t>：</w:t>
      </w:r>
      <w:r>
        <w:t>环江毛南族自治县思恩镇扶贫站2024</w:t>
      </w:r>
      <w:r>
        <w:rPr>
          <w:rFonts w:ascii="Times New Roman" w:hAnsi="Times New Roman" w:cs="Times New Roman"/>
        </w:rPr>
        <w:t>年</w:t>
      </w:r>
      <w:r>
        <w:t>部门预算</w:t>
      </w:r>
      <w:r>
        <w:rPr>
          <w:rFonts w:hint="eastAsia"/>
          <w:lang w:val="en-US" w:eastAsia="zh-CN"/>
        </w:rPr>
        <w:t>相关报</w:t>
      </w:r>
      <w:r>
        <w:t>表</w:t>
      </w:r>
    </w:p>
    <w:p w14:paraId="4F7C072C">
      <w:pPr>
        <w:pStyle w:val="9"/>
        <w:jc w:val="left"/>
        <w:rPr>
          <w:rFonts w:hint="eastAsia"/>
        </w:rPr>
      </w:pPr>
      <w:r>
        <w:rPr>
          <w:rFonts w:hint="eastAsia"/>
        </w:rPr>
        <w:t>一、部门收支总体情况表</w:t>
      </w:r>
    </w:p>
    <w:p w14:paraId="43BAE386">
      <w:pPr>
        <w:pStyle w:val="9"/>
        <w:jc w:val="left"/>
        <w:rPr>
          <w:rFonts w:hint="eastAsia"/>
        </w:rPr>
      </w:pPr>
      <w:r>
        <w:rPr>
          <w:rFonts w:hint="eastAsia"/>
        </w:rPr>
        <w:t>二、部门收入总体情况表</w:t>
      </w:r>
    </w:p>
    <w:p w14:paraId="456BCAE2">
      <w:pPr>
        <w:pStyle w:val="9"/>
        <w:jc w:val="left"/>
        <w:rPr>
          <w:rFonts w:hint="eastAsia"/>
        </w:rPr>
      </w:pPr>
      <w:r>
        <w:rPr>
          <w:rFonts w:hint="eastAsia"/>
        </w:rPr>
        <w:t>三、部门支出总体情况表</w:t>
      </w:r>
    </w:p>
    <w:p w14:paraId="42F1361C">
      <w:pPr>
        <w:pStyle w:val="9"/>
        <w:jc w:val="left"/>
        <w:rPr>
          <w:rFonts w:hint="eastAsia"/>
        </w:rPr>
      </w:pPr>
      <w:r>
        <w:rPr>
          <w:rFonts w:hint="eastAsia"/>
        </w:rPr>
        <w:t>四、财政拨款收支总体情况表</w:t>
      </w:r>
    </w:p>
    <w:p w14:paraId="4DF5F77C">
      <w:pPr>
        <w:pStyle w:val="9"/>
        <w:jc w:val="left"/>
        <w:rPr>
          <w:rFonts w:hint="eastAsia"/>
        </w:rPr>
      </w:pPr>
      <w:r>
        <w:rPr>
          <w:rFonts w:hint="eastAsia"/>
        </w:rPr>
        <w:t>五、一般公共预算支出情况表</w:t>
      </w:r>
    </w:p>
    <w:p w14:paraId="4688FDF1">
      <w:pPr>
        <w:pStyle w:val="9"/>
        <w:jc w:val="left"/>
        <w:rPr>
          <w:rFonts w:hint="eastAsia"/>
        </w:rPr>
      </w:pPr>
      <w:r>
        <w:rPr>
          <w:rFonts w:hint="eastAsia"/>
        </w:rPr>
        <w:t>六、一般公共预算基本支出情况表</w:t>
      </w:r>
    </w:p>
    <w:p w14:paraId="01C80500">
      <w:pPr>
        <w:pStyle w:val="9"/>
        <w:jc w:val="left"/>
        <w:rPr>
          <w:rFonts w:hint="eastAsia"/>
        </w:rPr>
      </w:pPr>
      <w:r>
        <w:rPr>
          <w:rFonts w:hint="eastAsia"/>
        </w:rPr>
        <w:t>七、一般公开预算“三公”经费支出情况表</w:t>
      </w:r>
    </w:p>
    <w:p w14:paraId="0500B77B">
      <w:pPr>
        <w:pStyle w:val="9"/>
        <w:jc w:val="left"/>
        <w:rPr>
          <w:rFonts w:hint="eastAsia"/>
        </w:rPr>
      </w:pPr>
      <w:r>
        <w:rPr>
          <w:rFonts w:hint="eastAsia"/>
        </w:rPr>
        <w:t>八、政府性基金预算支出情况表</w:t>
      </w:r>
    </w:p>
    <w:p w14:paraId="2C0BD62E">
      <w:pPr>
        <w:pStyle w:val="9"/>
        <w:jc w:val="left"/>
        <w:rPr>
          <w:rFonts w:hint="eastAsia"/>
        </w:rPr>
      </w:pPr>
      <w:r>
        <w:rPr>
          <w:rFonts w:hint="eastAsia"/>
        </w:rPr>
        <w:t>九、国有资本经营预算支出情况表</w:t>
      </w:r>
    </w:p>
    <w:p w14:paraId="0DDC9BE8">
      <w:pPr>
        <w:pStyle w:val="9"/>
        <w:jc w:val="left"/>
        <w:rPr>
          <w:rFonts w:hint="eastAsia" w:eastAsia="宋体"/>
          <w:lang w:eastAsia="zh-CN"/>
        </w:rPr>
      </w:pPr>
      <w:r>
        <w:rPr>
          <w:rFonts w:hint="eastAsia"/>
        </w:rPr>
        <w:t>十、2024年度预算项目绩效目标公开表</w:t>
      </w:r>
    </w:p>
    <w:p w14:paraId="112483FD">
      <w:pPr>
        <w:pStyle w:val="9"/>
        <w:ind w:left="0" w:firstLine="320"/>
        <w:jc w:val="left"/>
        <w:rPr>
          <w:rFonts w:hint="eastAsia" w:eastAsia="宋体"/>
          <w:lang w:eastAsia="zh-CN"/>
        </w:rPr>
        <w:sectPr>
          <w:footerReference r:id="rId3" w:type="default"/>
          <w:pgSz w:w="11900" w:h="16840" w:orient="landscape"/>
          <w:pgMar w:top="1508" w:right="1674" w:bottom="1508" w:left="1851" w:header="0" w:footer="1077" w:gutter="0"/>
          <w:cols w:space="720" w:num="1"/>
        </w:sectPr>
      </w:pPr>
      <w:r>
        <w:t>第四部分</w:t>
      </w:r>
      <w:r>
        <w:rPr>
          <w:rFonts w:hint="eastAsia"/>
          <w:lang w:eastAsia="zh-CN"/>
        </w:rPr>
        <w:t>：</w:t>
      </w:r>
      <w:r>
        <w:t>名词</w:t>
      </w:r>
      <w:r>
        <w:rPr>
          <w:rFonts w:hint="eastAsia"/>
          <w:lang w:val="en-US" w:eastAsia="zh-CN"/>
        </w:rPr>
        <w:t>解释</w:t>
      </w:r>
    </w:p>
    <w:p w14:paraId="5D9ED577">
      <w:pPr>
        <w:pStyle w:val="8"/>
        <w:keepNext/>
        <w:keepLines/>
        <w:pageBreakBefore w:val="0"/>
        <w:widowControl w:val="0"/>
        <w:spacing w:before="120" w:after="0" w:line="600" w:lineRule="exact"/>
        <w:jc w:val="both"/>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rPr>
        <w:t>环江毛南族自治县思恩镇扶贫站</w:t>
      </w:r>
      <w:r>
        <w:rPr>
          <w:b/>
          <w:bCs/>
          <w:sz w:val="40"/>
          <w:szCs w:val="40"/>
        </w:rPr>
        <w:t>概况</w:t>
      </w:r>
      <w:bookmarkEnd w:id="3"/>
      <w:bookmarkEnd w:id="4"/>
      <w:bookmarkEnd w:id="5"/>
    </w:p>
    <w:p w14:paraId="2B60FA8A">
      <w:pPr>
        <w:pStyle w:val="9"/>
        <w:spacing w:after="0" w:line="619" w:lineRule="exact"/>
        <w:ind w:firstLine="620"/>
        <w:jc w:val="left"/>
        <w:rPr>
          <w:b/>
          <w:bCs/>
        </w:rPr>
      </w:pPr>
      <w:r>
        <w:rPr>
          <w:rFonts w:hint="eastAsia"/>
          <w:b/>
          <w:bCs/>
          <w:lang w:val="en-US" w:eastAsia="zh-CN"/>
        </w:rPr>
        <w:t>一、</w:t>
      </w:r>
      <w:r>
        <w:rPr>
          <w:b/>
          <w:bCs/>
        </w:rPr>
        <w:t>主要职责</w:t>
      </w:r>
    </w:p>
    <w:p w14:paraId="57288F99">
      <w:pPr>
        <w:pStyle w:val="10"/>
        <w:spacing w:line="623" w:lineRule="exact"/>
        <w:ind w:left="0" w:firstLine="560"/>
        <w:jc w:val="left"/>
        <w:rPr>
          <w:rFonts w:hint="default"/>
          <w:highlight w:val="yellow"/>
          <w:lang w:val="en-US" w:eastAsia="zh-CN"/>
        </w:rPr>
      </w:pPr>
      <w:r>
        <w:rPr>
          <w:rFonts w:hint="eastAsia"/>
          <w:highlight w:val="none"/>
          <w:lang w:val="en-US" w:eastAsia="zh-CN"/>
        </w:rPr>
        <w:t>承担贯彻执行上级有关乡村振兴的法律法规和方针、政策，并组织实施；落实乡村振兴战略，促进农业农村发展；承担乡村规划建设、产业发展等工作，承办乡镇党委、政府和上级相关行政机关依法委托的业务等</w:t>
      </w:r>
    </w:p>
    <w:p w14:paraId="3F7F8C60">
      <w:pPr>
        <w:pStyle w:val="9"/>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14:paraId="06A22786">
      <w:pPr>
        <w:pStyle w:val="10"/>
        <w:spacing w:line="623" w:lineRule="exact"/>
        <w:ind w:left="0" w:firstLine="560"/>
        <w:jc w:val="left"/>
        <w:rPr>
          <w:rFonts w:hint="eastAsia"/>
          <w:highlight w:val="none"/>
          <w:lang w:val="en-US" w:eastAsia="zh-CN"/>
        </w:rPr>
      </w:pPr>
      <w:r>
        <w:rPr>
          <w:rFonts w:hint="eastAsia"/>
          <w:highlight w:val="none"/>
          <w:lang w:val="en-US" w:eastAsia="zh-CN"/>
        </w:rPr>
        <w:t>思恩镇扶贫站是思恩镇人民政府直接管理的财政全额拨款事业单位。</w:t>
      </w:r>
      <w:bookmarkStart w:id="43" w:name="_GoBack"/>
      <w:bookmarkEnd w:id="43"/>
    </w:p>
    <w:p w14:paraId="583AC223">
      <w:pPr>
        <w:pStyle w:val="10"/>
        <w:spacing w:line="623" w:lineRule="exact"/>
        <w:ind w:firstLine="1018"/>
        <w:jc w:val="left"/>
        <w:rPr>
          <w:rFonts w:hint="eastAsia"/>
          <w:highlight w:val="none"/>
          <w:lang w:val="en-US" w:eastAsia="zh-CN"/>
        </w:rPr>
      </w:pPr>
    </w:p>
    <w:p w14:paraId="286AC633">
      <w:r>
        <w:rPr/>
        <w:br w:type="page" w:clear="all"/>
      </w:r>
    </w:p>
    <w:p w14:paraId="58A765E6">
      <w:pPr>
        <w:pStyle w:val="8"/>
        <w:keepNext/>
        <w:keepLines/>
        <w:pageBreakBefore w:val="0"/>
        <w:widowControl w:val="0"/>
        <w:spacing w:before="120" w:after="0" w:line="600" w:lineRule="exact"/>
        <w:jc w:val="center"/>
        <w:rPr>
          <w:b/>
          <w:bCs/>
          <w:sz w:val="40"/>
          <w:szCs w:val="40"/>
        </w:rPr>
      </w:pPr>
      <w:bookmarkStart w:id="7" w:name="bookmark69"/>
      <w:bookmarkStart w:id="8" w:name="bookmark70"/>
      <w:bookmarkStart w:id="9" w:name="bookmark68"/>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环江毛南族自治县思恩镇扶贫站</w:t>
      </w:r>
      <w:r>
        <w:rPr>
          <w:b/>
          <w:sz w:val="40"/>
        </w:rPr>
        <w:t>2024年部门预算情况说明</w:t>
      </w:r>
    </w:p>
    <w:p w14:paraId="60E8E4E0">
      <w:pPr>
        <w:pStyle w:val="9"/>
        <w:keepNext w:val="0"/>
        <w:keepLines w:val="0"/>
        <w:pageBreakBefore w:val="0"/>
        <w:widowControl w:val="0"/>
        <w:spacing w:before="120" w:after="0" w:line="600" w:lineRule="exact"/>
        <w:ind w:firstLine="618"/>
        <w:jc w:val="left"/>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14:paraId="54C24861">
      <w:pPr>
        <w:pStyle w:val="10"/>
        <w:keepNext w:val="0"/>
        <w:keepLines w:val="0"/>
        <w:pageBreakBefore w:val="0"/>
        <w:widowControl w:val="0"/>
        <w:spacing w:line="600" w:lineRule="exact"/>
        <w:ind w:left="0" w:firstLine="56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21.19</w:t>
      </w:r>
      <w:r>
        <w:rPr>
          <w:rFonts w:hint="eastAsia"/>
          <w:b w:val="0"/>
          <w:bCs w:val="0"/>
          <w:sz w:val="28"/>
          <w:szCs w:val="28"/>
        </w:rPr>
        <w:t>万元，总支出</w:t>
      </w:r>
      <w:r>
        <w:rPr>
          <w:rFonts w:hint="eastAsia"/>
          <w:sz w:val="28"/>
          <w:szCs w:val="28"/>
          <w:lang w:val="en-US" w:eastAsia="zh-CN"/>
        </w:rPr>
        <w:t>21.19</w:t>
      </w:r>
      <w:r>
        <w:rPr>
          <w:rFonts w:hint="eastAsia"/>
          <w:b w:val="0"/>
          <w:bCs w:val="0"/>
          <w:sz w:val="28"/>
          <w:szCs w:val="28"/>
        </w:rPr>
        <w:t>万元。总收入较2023年度预算数</w:t>
      </w:r>
      <w:r>
        <w:rPr>
          <w:rFonts w:hint="eastAsia"/>
          <w:sz w:val="28"/>
          <w:szCs w:val="28"/>
          <w:lang w:val="en-US" w:eastAsia="zh-CN"/>
        </w:rPr>
        <w:t>20.86</w:t>
      </w:r>
      <w:r>
        <w:rPr>
          <w:rFonts w:hint="eastAsia"/>
          <w:b w:val="0"/>
          <w:bCs w:val="0"/>
          <w:sz w:val="28"/>
          <w:szCs w:val="28"/>
        </w:rPr>
        <w:t>万元，</w:t>
      </w:r>
      <w:r>
        <w:rPr>
          <w:rFonts w:hint="eastAsia"/>
          <w:sz w:val="28"/>
          <w:szCs w:val="28"/>
        </w:rPr>
        <w:t>增加0.33</w:t>
      </w:r>
      <w:r>
        <w:rPr>
          <w:rFonts w:hint="eastAsia"/>
          <w:b w:val="0"/>
          <w:bCs w:val="0"/>
          <w:sz w:val="28"/>
          <w:szCs w:val="28"/>
        </w:rPr>
        <w:t>万元，</w:t>
      </w:r>
      <w:r>
        <w:rPr>
          <w:rFonts w:hint="eastAsia"/>
          <w:sz w:val="28"/>
          <w:szCs w:val="28"/>
        </w:rPr>
        <w:t>增长1.58%</w:t>
      </w:r>
      <w:r>
        <w:rPr>
          <w:rFonts w:hint="eastAsia"/>
          <w:b w:val="0"/>
          <w:bCs w:val="0"/>
          <w:sz w:val="28"/>
          <w:szCs w:val="28"/>
        </w:rPr>
        <w:t>，主要原因是</w:t>
      </w:r>
      <w:r>
        <w:rPr>
          <w:rFonts w:hint="eastAsia"/>
          <w:highlight w:val="none"/>
          <w:lang w:val="en-US" w:eastAsia="zh-CN"/>
        </w:rPr>
        <w:t>增加主要原因：人员增加，在职在编人员工资项中职务级别等工资有所上调，养老、公积金缴存基数医疗保险及大病统筹基数按年上调</w:t>
      </w:r>
      <w:r>
        <w:rPr>
          <w:rFonts w:hint="eastAsia"/>
          <w:b w:val="0"/>
          <w:bCs w:val="0"/>
          <w:sz w:val="28"/>
          <w:szCs w:val="28"/>
        </w:rPr>
        <w:t>。总支出较2023年度预算数</w:t>
      </w:r>
      <w:r>
        <w:rPr>
          <w:rFonts w:hint="eastAsia"/>
          <w:sz w:val="28"/>
          <w:szCs w:val="28"/>
          <w:lang w:val="en-US" w:eastAsia="zh-CN"/>
        </w:rPr>
        <w:t>20.86</w:t>
      </w:r>
      <w:r>
        <w:rPr>
          <w:rFonts w:hint="eastAsia"/>
          <w:b w:val="0"/>
          <w:bCs w:val="0"/>
          <w:sz w:val="28"/>
          <w:szCs w:val="28"/>
        </w:rPr>
        <w:t>万元，</w:t>
      </w:r>
      <w:r>
        <w:rPr>
          <w:rFonts w:hint="eastAsia"/>
          <w:sz w:val="28"/>
          <w:szCs w:val="28"/>
        </w:rPr>
        <w:t>增加0.33</w:t>
      </w:r>
      <w:r>
        <w:rPr>
          <w:rFonts w:hint="eastAsia"/>
          <w:b w:val="0"/>
          <w:bCs w:val="0"/>
          <w:sz w:val="28"/>
          <w:szCs w:val="28"/>
        </w:rPr>
        <w:t>万元，</w:t>
      </w:r>
      <w:r>
        <w:rPr>
          <w:rFonts w:hint="eastAsia"/>
          <w:sz w:val="28"/>
          <w:szCs w:val="28"/>
        </w:rPr>
        <w:t>增长1.58%</w:t>
      </w:r>
      <w:r>
        <w:rPr>
          <w:rFonts w:hint="eastAsia"/>
          <w:b w:val="0"/>
          <w:bCs w:val="0"/>
          <w:sz w:val="28"/>
          <w:szCs w:val="28"/>
        </w:rPr>
        <w:t>，主要原因是</w:t>
      </w:r>
      <w:r>
        <w:rPr>
          <w:rFonts w:hint="eastAsia"/>
          <w:highlight w:val="none"/>
          <w:lang w:val="en-US" w:eastAsia="zh-CN"/>
        </w:rPr>
        <w:t>增加主要原因：人员增加，在职在编人员工资项中职务级别等工资有所上调，养老、公积金缴存基数医疗保险及大病统筹基数按年上调</w:t>
      </w:r>
      <w:r>
        <w:rPr>
          <w:rFonts w:hint="eastAsia"/>
          <w:b w:val="0"/>
          <w:bCs w:val="0"/>
          <w:sz w:val="28"/>
          <w:szCs w:val="28"/>
        </w:rPr>
        <w:t>。</w:t>
      </w:r>
    </w:p>
    <w:p w14:paraId="7D446F1C">
      <w:pPr>
        <w:pStyle w:val="9"/>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二、部门收入总体情况说明</w:t>
      </w:r>
    </w:p>
    <w:p w14:paraId="4C698FB8">
      <w:pPr>
        <w:pStyle w:val="10"/>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0" distR="0">
            <wp:extent cx="4257040" cy="3139440"/>
            <wp:effectExtent l="4445" t="4445" r="5715" b="18415"/>
            <wp:docPr id="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3A9FAF">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rPr>
        <w:t>年我部门总收入</w:t>
      </w:r>
      <w:r>
        <w:rPr>
          <w:rFonts w:hint="eastAsia" w:ascii="宋体" w:hAnsi="宋体" w:eastAsia="宋体" w:cs="宋体"/>
          <w:sz w:val="28"/>
          <w:szCs w:val="28"/>
          <w:lang w:val="en-US" w:eastAsia="zh-CN"/>
        </w:rPr>
        <w:t>21.19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20.86</w:t>
      </w:r>
      <w:r>
        <w:rPr>
          <w:rFonts w:hint="eastAsia" w:ascii="宋体" w:hAnsi="宋体" w:eastAsia="宋体" w:cs="宋体"/>
          <w:sz w:val="28"/>
          <w:szCs w:val="28"/>
        </w:rPr>
        <w:t>万元，增加0.33万元，增长1.58%，主要原因是</w:t>
      </w:r>
      <w:r>
        <w:rPr>
          <w:rFonts w:hint="eastAsia"/>
          <w:highlight w:val="none"/>
          <w:lang w:val="en-US" w:eastAsia="zh-CN"/>
        </w:rPr>
        <w:t>增加主要原因：人员增加，在职在编人员工资项中职务级别等工资有所上调，养老、公积金缴存基数医疗保险及大病统筹基数按年上调</w:t>
      </w:r>
      <w:r>
        <w:rPr>
          <w:rFonts w:hint="eastAsia" w:ascii="宋体" w:hAnsi="宋体" w:eastAsia="宋体" w:cs="宋体"/>
          <w:sz w:val="28"/>
          <w:szCs w:val="28"/>
        </w:rPr>
        <w:t>。</w:t>
      </w:r>
    </w:p>
    <w:p w14:paraId="305AC355">
      <w:pPr>
        <w:pStyle w:val="9"/>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三、部门支出总体情况说明</w:t>
      </w:r>
    </w:p>
    <w:p w14:paraId="76519914">
      <w:pPr>
        <w:pStyle w:val="10"/>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0" distR="0">
            <wp:extent cx="5080000" cy="3810000"/>
            <wp:effectExtent l="4445" t="4445" r="20955" b="14605"/>
            <wp:docPr id="1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4B034D">
      <w:pPr>
        <w:pStyle w:val="10"/>
        <w:keepNext w:val="0"/>
        <w:keepLines w:val="0"/>
        <w:pageBreakBefore w:val="0"/>
        <w:widowControl w:val="0"/>
        <w:spacing w:line="600" w:lineRule="exact"/>
        <w:ind w:left="0" w:firstLine="56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rPr>
        <w:t>年我部门总支出</w:t>
      </w:r>
      <w:r>
        <w:rPr>
          <w:rFonts w:hint="eastAsia" w:ascii="宋体" w:hAnsi="宋体" w:eastAsia="宋体" w:cs="宋体"/>
          <w:sz w:val="28"/>
          <w:szCs w:val="28"/>
          <w:lang w:val="en-US" w:eastAsia="zh-CN"/>
        </w:rPr>
        <w:t>21.19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20.86</w:t>
      </w:r>
      <w:r>
        <w:rPr>
          <w:rFonts w:hint="eastAsia" w:ascii="宋体" w:hAnsi="宋体" w:eastAsia="宋体" w:cs="宋体"/>
          <w:sz w:val="28"/>
          <w:szCs w:val="28"/>
          <w:lang w:eastAsia="zh-CN"/>
        </w:rPr>
        <w:t>万元，</w:t>
      </w:r>
      <w:r>
        <w:rPr>
          <w:rFonts w:hint="eastAsia" w:ascii="宋体" w:hAnsi="宋体" w:eastAsia="宋体" w:cs="宋体"/>
          <w:sz w:val="28"/>
          <w:szCs w:val="28"/>
        </w:rPr>
        <w:t>增加0.33</w:t>
      </w:r>
      <w:r>
        <w:rPr>
          <w:rFonts w:hint="eastAsia" w:ascii="宋体" w:hAnsi="宋体" w:eastAsia="宋体" w:cs="宋体"/>
          <w:sz w:val="28"/>
          <w:szCs w:val="28"/>
          <w:lang w:eastAsia="zh-CN"/>
        </w:rPr>
        <w:t>万元，</w:t>
      </w:r>
      <w:r>
        <w:rPr>
          <w:rFonts w:hint="eastAsia" w:ascii="宋体" w:hAnsi="宋体" w:eastAsia="宋体" w:cs="宋体"/>
          <w:sz w:val="28"/>
          <w:szCs w:val="28"/>
        </w:rPr>
        <w:t>增长1.58%</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lang w:eastAsia="zh-CN"/>
        </w:rPr>
        <w:t>。</w:t>
      </w:r>
    </w:p>
    <w:p w14:paraId="5D2380E2">
      <w:pPr>
        <w:pStyle w:val="10"/>
        <w:keepNext w:val="0"/>
        <w:keepLines w:val="0"/>
        <w:pageBreakBefore w:val="0"/>
        <w:widowControl w:val="0"/>
        <w:spacing w:after="140" w:line="600" w:lineRule="exact"/>
        <w:ind w:firstLine="0"/>
        <w:jc w:val="left"/>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14:paraId="49E95D14">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1)农林水支出</w:t>
      </w:r>
      <w:r>
        <w:rPr>
          <w:rFonts w:hint="eastAsia" w:ascii="宋体" w:hAnsi="宋体" w:eastAsia="宋体" w:cs="宋体"/>
          <w:sz w:val="28"/>
          <w:szCs w:val="28"/>
          <w:lang w:val="en-US" w:eastAsia="zh-CN"/>
        </w:rPr>
        <w:t>16.28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76.83%</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增长0.54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增长3.43%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highlight w:val="none"/>
        </w:rPr>
        <w:t>。</w:t>
      </w:r>
    </w:p>
    <w:p w14:paraId="4751AA14">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2)住房保障支出</w:t>
      </w:r>
      <w:r>
        <w:rPr>
          <w:rFonts w:hint="eastAsia" w:ascii="宋体" w:hAnsi="宋体" w:eastAsia="宋体" w:cs="宋体"/>
          <w:sz w:val="28"/>
          <w:szCs w:val="28"/>
          <w:lang w:val="en-US" w:eastAsia="zh-CN"/>
        </w:rPr>
        <w:t>2.22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10.48%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增长0.17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增长8.29%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highlight w:val="none"/>
        </w:rPr>
        <w:t>。</w:t>
      </w:r>
    </w:p>
    <w:p w14:paraId="1E52BEF7">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3)一般公共服务支出</w:t>
      </w:r>
      <w:r>
        <w:rPr>
          <w:rFonts w:hint="eastAsia" w:ascii="宋体" w:hAnsi="宋体" w:eastAsia="宋体" w:cs="宋体"/>
          <w:sz w:val="28"/>
          <w:szCs w:val="28"/>
          <w:lang w:val="en-US" w:eastAsia="zh-CN"/>
        </w:rPr>
        <w:t>0.19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0.90%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减少0.15</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减少44.12%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主要原因是：践行中央过紧日子的文件精神，缩减经费开支</w:t>
      </w:r>
      <w:r>
        <w:rPr>
          <w:rFonts w:hint="eastAsia" w:ascii="宋体" w:hAnsi="宋体" w:eastAsia="宋体" w:cs="宋体"/>
          <w:sz w:val="28"/>
          <w:szCs w:val="28"/>
          <w:highlight w:val="none"/>
        </w:rPr>
        <w:t>。</w:t>
      </w:r>
    </w:p>
    <w:p w14:paraId="4B518289">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4)社会保障和就业支出</w:t>
      </w:r>
      <w:r>
        <w:rPr>
          <w:rFonts w:hint="eastAsia" w:ascii="宋体" w:hAnsi="宋体" w:eastAsia="宋体" w:cs="宋体"/>
          <w:sz w:val="28"/>
          <w:szCs w:val="28"/>
          <w:lang w:val="en-US" w:eastAsia="zh-CN"/>
        </w:rPr>
        <w:t>2.50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11.80%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减少0.23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减少8.42%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主要原因是：践行中央过紧日子的文件精神，缩减经费开支</w:t>
      </w:r>
      <w:r>
        <w:rPr>
          <w:rFonts w:hint="eastAsia" w:ascii="宋体" w:hAnsi="宋体" w:eastAsia="宋体" w:cs="宋体"/>
          <w:sz w:val="28"/>
          <w:szCs w:val="28"/>
          <w:highlight w:val="none"/>
        </w:rPr>
        <w:t>。</w:t>
      </w:r>
    </w:p>
    <w:p w14:paraId="4DB2C280">
      <w:pPr>
        <w:pStyle w:val="10"/>
        <w:keepNext w:val="0"/>
        <w:keepLines w:val="0"/>
        <w:pageBreakBefore w:val="0"/>
        <w:widowControl w:val="0"/>
        <w:spacing w:line="600" w:lineRule="exact"/>
        <w:ind w:firstLine="740"/>
        <w:jc w:val="left"/>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14:paraId="26BB64CE">
      <w:pPr>
        <w:pStyle w:val="10"/>
        <w:keepNext w:val="0"/>
        <w:keepLines w:val="0"/>
        <w:pageBreakBefore w:val="0"/>
        <w:widowControl w:val="0"/>
        <w:numPr>
          <w:ilvl w:val="0"/>
          <w:numId w:val="1"/>
        </w:numPr>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基本支出预算。</w:t>
      </w:r>
    </w:p>
    <w:p w14:paraId="39910B99">
      <w:pPr>
        <w:pStyle w:val="10"/>
        <w:keepNext w:val="0"/>
        <w:keepLines w:val="0"/>
        <w:pageBreakBefore w:val="0"/>
        <w:widowControl w:val="0"/>
        <w:spacing w:line="600" w:lineRule="exact"/>
        <w:ind w:firstLine="600"/>
        <w:jc w:val="left"/>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21.19</w:t>
      </w:r>
      <w:r>
        <w:rPr>
          <w:rFonts w:hint="eastAsia" w:ascii="宋体" w:hAnsi="宋体" w:eastAsia="宋体" w:cs="宋体"/>
          <w:sz w:val="28"/>
          <w:szCs w:val="28"/>
        </w:rPr>
        <w:t>万元，占支出预算</w:t>
      </w:r>
      <w:r>
        <w:rPr>
          <w:rFonts w:ascii="宋体" w:hAnsi="宋体" w:eastAsia="宋体" w:cs="宋体"/>
          <w:sz w:val="28"/>
        </w:rPr>
        <w:t>100.00%,比上年增长0.33万元，增长1.58%</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14:paraId="1956F352">
      <w:pPr>
        <w:pStyle w:val="11"/>
        <w:keepNext w:val="0"/>
        <w:keepLines w:val="0"/>
        <w:pageBreakBefore w:val="0"/>
        <w:widowControl w:val="0"/>
        <w:spacing w:after="0" w:line="600" w:lineRule="exact"/>
        <w:ind w:firstLine="740"/>
        <w:jc w:val="lef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rPr>
        <w:t>1)工资福利支出</w:t>
      </w:r>
      <w:r>
        <w:rPr>
          <w:rFonts w:hint="eastAsia" w:ascii="宋体" w:hAnsi="宋体" w:eastAsia="宋体" w:cs="宋体"/>
          <w:sz w:val="28"/>
          <w:szCs w:val="28"/>
          <w:lang w:val="en-US" w:eastAsia="zh-CN"/>
        </w:rPr>
        <w:t>20.52</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96.84%</w:t>
      </w:r>
      <w:r>
        <w:rPr>
          <w:rFonts w:hint="eastAsia" w:ascii="宋体" w:hAnsi="宋体" w:eastAsia="宋体" w:cs="宋体"/>
          <w:sz w:val="28"/>
          <w:szCs w:val="28"/>
        </w:rPr>
        <w:t>,比上年</w:t>
      </w:r>
      <w:r>
        <w:rPr>
          <w:rFonts w:ascii="宋体" w:hAnsi="宋体" w:eastAsia="宋体" w:cs="宋体"/>
          <w:sz w:val="28"/>
        </w:rPr>
        <w:t>增长0.48万元，增长2.40%,主要原因是：增加主要原因：人员增加，工在职在编人员工资项中职务级别等工资有所上调，养老、公积金缴存基数医疗保险及大病统筹基数按年上调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lang w:val="en-US" w:eastAsia="zh-CN"/>
        </w:rPr>
        <w:t>。</w:t>
      </w:r>
    </w:p>
    <w:p w14:paraId="74E0984C">
      <w:pPr>
        <w:pStyle w:val="11"/>
        <w:keepNext w:val="0"/>
        <w:keepLines w:val="0"/>
        <w:pageBreakBefore w:val="0"/>
        <w:widowControl w:val="0"/>
        <w:spacing w:after="0" w:line="600" w:lineRule="exact"/>
        <w:ind w:firstLine="740"/>
        <w:jc w:val="lef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rPr>
        <w:t>2)商品和服务支出</w:t>
      </w:r>
      <w:r>
        <w:rPr>
          <w:rFonts w:hint="eastAsia" w:ascii="宋体" w:hAnsi="宋体" w:eastAsia="宋体" w:cs="宋体"/>
          <w:sz w:val="28"/>
          <w:szCs w:val="28"/>
          <w:lang w:val="en-US" w:eastAsia="zh-CN"/>
        </w:rPr>
        <w:t>0.67</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3.16%</w:t>
      </w:r>
      <w:r>
        <w:rPr>
          <w:rFonts w:hint="eastAsia" w:ascii="宋体" w:hAnsi="宋体" w:eastAsia="宋体" w:cs="宋体"/>
          <w:sz w:val="28"/>
          <w:szCs w:val="28"/>
        </w:rPr>
        <w:t>,比上年</w:t>
      </w:r>
      <w:r>
        <w:rPr>
          <w:rFonts w:ascii="宋体" w:hAnsi="宋体" w:eastAsia="宋体" w:cs="宋体"/>
          <w:sz w:val="28"/>
        </w:rPr>
        <w:t>减少0.15万元，减少18.29%,主要原因是：主要原因是：践行中央过紧日子的文件精神，缩减经费开支</w:t>
      </w:r>
      <w:r>
        <w:rPr>
          <w:rFonts w:hint="eastAsia" w:ascii="宋体" w:hAnsi="宋体" w:eastAsia="宋体" w:cs="宋体"/>
          <w:sz w:val="28"/>
          <w:szCs w:val="28"/>
          <w:lang w:val="en-US" w:eastAsia="zh-CN"/>
        </w:rPr>
        <w:t>。</w:t>
      </w:r>
    </w:p>
    <w:p w14:paraId="636B6179">
      <w:pPr>
        <w:pStyle w:val="10"/>
        <w:keepNext w:val="0"/>
        <w:keepLines w:val="0"/>
        <w:pageBreakBefore w:val="0"/>
        <w:widowControl w:val="0"/>
        <w:numPr>
          <w:ilvl w:val="0"/>
          <w:numId w:val="1"/>
        </w:numPr>
        <w:spacing w:line="600" w:lineRule="exact"/>
        <w:ind w:left="0" w:firstLine="560"/>
        <w:jc w:val="left"/>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14:paraId="337189D3">
      <w:pPr>
        <w:pStyle w:val="10"/>
        <w:keepNext w:val="0"/>
        <w:keepLines w:val="0"/>
        <w:pageBreakBefore w:val="0"/>
        <w:widowControl w:val="0"/>
        <w:spacing w:line="600" w:lineRule="exact"/>
        <w:ind w:firstLine="600"/>
        <w:jc w:val="left"/>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rPr>
        <w:t>0.00%</w:t>
      </w:r>
      <w:r>
        <w:rPr>
          <w:rFonts w:hint="eastAsia" w:ascii="宋体" w:hAnsi="宋体" w:eastAsia="宋体" w:cs="宋体"/>
          <w:sz w:val="28"/>
          <w:szCs w:val="28"/>
        </w:rPr>
        <w:t>,比上年</w:t>
      </w:r>
      <w:r>
        <w:rPr>
          <w:rFonts w:ascii="宋体" w:hAnsi="宋体" w:eastAsia="宋体" w:cs="宋体"/>
          <w:sz w:val="28"/>
        </w:rPr>
        <w:t>增长0.00</w:t>
      </w:r>
      <w:r>
        <w:rPr>
          <w:rFonts w:hint="eastAsia" w:ascii="宋体" w:hAnsi="宋体" w:eastAsia="宋体" w:cs="宋体"/>
          <w:sz w:val="28"/>
          <w:szCs w:val="28"/>
        </w:rPr>
        <w:t>万元，</w:t>
      </w:r>
      <w:r>
        <w:rPr>
          <w:rFonts w:ascii="宋体" w:hAnsi="宋体" w:eastAsia="宋体" w:cs="宋体"/>
          <w:sz w:val="28"/>
        </w:rPr>
        <w:t>增长0%</w:t>
      </w:r>
      <w:r>
        <w:rPr>
          <w:rFonts w:hint="eastAsia" w:ascii="宋体" w:hAnsi="宋体" w:eastAsia="宋体" w:cs="宋体"/>
          <w:sz w:val="28"/>
          <w:szCs w:val="28"/>
        </w:rPr>
        <w:t>。</w:t>
      </w:r>
    </w:p>
    <w:p w14:paraId="73BB8E0C">
      <w:pPr>
        <w:pStyle w:val="9"/>
        <w:spacing w:after="0" w:line="619" w:lineRule="exact"/>
        <w:ind w:firstLine="620"/>
        <w:jc w:val="left"/>
        <w:rPr>
          <w:rFonts w:hint="eastAsia"/>
          <w:b/>
          <w:bCs/>
          <w:lang w:val="en-US" w:eastAsia="zh-CN"/>
        </w:rPr>
      </w:pPr>
      <w:r>
        <w:rPr>
          <w:rFonts w:hint="eastAsia"/>
          <w:b/>
          <w:bCs/>
          <w:lang w:val="en-US" w:eastAsia="zh-CN"/>
        </w:rPr>
        <w:t>四、财政拨款收支总体情况说明</w:t>
      </w:r>
    </w:p>
    <w:p w14:paraId="6128C61B">
      <w:pPr>
        <w:pStyle w:val="10"/>
        <w:spacing w:line="240" w:lineRule="auto"/>
        <w:ind w:firstLine="0"/>
        <w:jc w:val="left"/>
        <w:rPr>
          <w:lang w:val="en-US" w:eastAsia="zh-CN"/>
        </w:rPr>
      </w:pPr>
      <w:r>
        <w:rPr>
          <w:rFonts w:hint="eastAsia"/>
          <w:lang w:val="en-US" w:eastAsia="zh-CN"/>
        </w:rPr>
        <w:drawing>
          <wp:inline distT="0" distB="0" distL="0" distR="0">
            <wp:extent cx="5080000" cy="3810000"/>
            <wp:effectExtent l="4445" t="4445" r="20955" b="14605"/>
            <wp:docPr id="1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83C9CF">
      <w:pPr>
        <w:pStyle w:val="10"/>
        <w:keepNext w:val="0"/>
        <w:keepLines w:val="0"/>
        <w:pageBreakBefore w:val="0"/>
        <w:widowControl w:val="0"/>
        <w:spacing w:line="600" w:lineRule="exact"/>
        <w:ind w:firstLine="601"/>
        <w:jc w:val="left"/>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rPr>
        <w:t>年财政拨款收入我部门财政拨款总收入</w:t>
      </w:r>
      <w:r>
        <w:rPr>
          <w:rFonts w:hint="eastAsia" w:ascii="宋体" w:hAnsi="宋体" w:eastAsia="宋体" w:cs="宋体"/>
          <w:sz w:val="28"/>
          <w:szCs w:val="28"/>
          <w:lang w:val="en-US" w:eastAsia="zh-CN" w:bidi="en-US"/>
        </w:rPr>
        <w:t>21.19</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21.19</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20.86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增加0.33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增长1.58%</w:t>
      </w:r>
      <w:r>
        <w:rPr>
          <w:rFonts w:hint="eastAsia" w:ascii="宋体" w:hAnsi="宋体" w:eastAsia="宋体" w:cs="宋体"/>
          <w:sz w:val="28"/>
          <w:szCs w:val="28"/>
        </w:rPr>
        <w:t>，主要原因是</w:t>
      </w:r>
      <w:r>
        <w:rPr>
          <w:rFonts w:hint="eastAsia"/>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20.86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增加0.33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增长1.58%</w:t>
      </w:r>
      <w:r>
        <w:rPr>
          <w:rFonts w:hint="eastAsia" w:ascii="宋体" w:hAnsi="宋体" w:eastAsia="宋体" w:cs="宋体"/>
          <w:sz w:val="28"/>
          <w:szCs w:val="28"/>
        </w:rPr>
        <w:t>，主要原因是</w:t>
      </w:r>
      <w:r>
        <w:rPr>
          <w:rFonts w:hint="eastAsia"/>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rPr>
        <w:t>。</w:t>
      </w:r>
    </w:p>
    <w:p w14:paraId="3BAB3BFD">
      <w:pPr>
        <w:pStyle w:val="9"/>
        <w:spacing w:after="0" w:line="619" w:lineRule="exact"/>
        <w:ind w:firstLine="620"/>
        <w:jc w:val="left"/>
        <w:rPr>
          <w:rFonts w:hint="eastAsia"/>
          <w:b/>
          <w:bCs/>
          <w:lang w:val="en-US" w:eastAsia="zh-CN"/>
        </w:rPr>
      </w:pPr>
      <w:r>
        <w:rPr>
          <w:rFonts w:hint="eastAsia"/>
          <w:b/>
          <w:bCs/>
          <w:lang w:val="en-US" w:eastAsia="zh-CN"/>
        </w:rPr>
        <w:t>五、一般公共预算支出情况说明</w:t>
      </w:r>
    </w:p>
    <w:p w14:paraId="2F6AE9C3">
      <w:pPr>
        <w:pStyle w:val="10"/>
        <w:spacing w:line="240" w:lineRule="auto"/>
        <w:ind w:firstLine="0"/>
        <w:jc w:val="left"/>
        <w:rPr>
          <w:lang w:eastAsia="zh-CN"/>
        </w:rPr>
      </w:pPr>
      <w:r>
        <w:rPr>
          <w:lang w:eastAsia="zh-CN"/>
        </w:rPr>
        <w:drawing>
          <wp:inline distT="0" distB="0" distL="0" distR="0">
            <wp:extent cx="5080000" cy="3810000"/>
            <wp:effectExtent l="4445" t="4445" r="20955" b="14605"/>
            <wp:docPr id="1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A5D834">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21.19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20.86</w:t>
      </w:r>
      <w:r>
        <w:rPr>
          <w:rFonts w:hint="eastAsia" w:ascii="宋体" w:hAnsi="宋体" w:eastAsia="宋体" w:cs="宋体"/>
          <w:sz w:val="28"/>
          <w:szCs w:val="28"/>
        </w:rPr>
        <w:t>万元，</w:t>
      </w:r>
      <w:r>
        <w:rPr>
          <w:rFonts w:hint="eastAsia" w:ascii="宋体" w:hAnsi="宋体" w:eastAsia="宋体" w:cs="宋体"/>
          <w:sz w:val="28"/>
          <w:szCs w:val="28"/>
          <w:lang w:val="en-US" w:eastAsia="zh-CN"/>
        </w:rPr>
        <w:t>增加0.33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增长1.58%</w:t>
      </w:r>
      <w:r>
        <w:rPr>
          <w:rFonts w:hint="eastAsia" w:ascii="宋体" w:hAnsi="宋体" w:eastAsia="宋体" w:cs="宋体"/>
          <w:sz w:val="28"/>
          <w:szCs w:val="28"/>
        </w:rPr>
        <w:t>，主要原因是</w:t>
      </w:r>
      <w:r>
        <w:rPr>
          <w:rFonts w:hint="eastAsia"/>
          <w:highlight w:val="none"/>
          <w:lang w:val="en-US" w:eastAsia="zh-CN"/>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14:paraId="2FABBA1B">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rPr>
        <w:t>0.19</w:t>
      </w:r>
      <w:r>
        <w:rPr>
          <w:rFonts w:hint="eastAsia" w:ascii="宋体" w:hAnsi="宋体" w:eastAsia="宋体" w:cs="宋体"/>
          <w:sz w:val="28"/>
          <w:szCs w:val="28"/>
        </w:rPr>
        <w:t>万元，占支出总预算的</w:t>
      </w:r>
      <w:r>
        <w:rPr>
          <w:rFonts w:ascii="宋体" w:hAnsi="宋体" w:eastAsia="宋体" w:cs="宋体"/>
          <w:sz w:val="28"/>
        </w:rPr>
        <w:t>0.90%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0.34</w:t>
      </w:r>
      <w:r>
        <w:rPr>
          <w:rFonts w:hint="eastAsia" w:ascii="宋体" w:hAnsi="宋体" w:eastAsia="宋体" w:cs="宋体"/>
          <w:sz w:val="28"/>
          <w:szCs w:val="28"/>
        </w:rPr>
        <w:t>万元，</w:t>
      </w:r>
      <w:r>
        <w:rPr>
          <w:rFonts w:ascii="宋体" w:hAnsi="宋体" w:eastAsia="宋体" w:cs="宋体"/>
          <w:sz w:val="28"/>
        </w:rPr>
        <w:t>减少0.15</w:t>
      </w:r>
      <w:r>
        <w:rPr>
          <w:rFonts w:hint="eastAsia" w:ascii="宋体" w:hAnsi="宋体" w:eastAsia="宋体" w:cs="宋体"/>
          <w:sz w:val="28"/>
          <w:szCs w:val="28"/>
        </w:rPr>
        <w:t>万元，</w:t>
      </w:r>
      <w:r>
        <w:rPr>
          <w:rFonts w:ascii="宋体" w:hAnsi="宋体" w:eastAsia="宋体" w:cs="宋体"/>
          <w:sz w:val="28"/>
        </w:rPr>
        <w:t>减少44.12%</w:t>
      </w:r>
      <w:r>
        <w:rPr>
          <w:rFonts w:hint="eastAsia" w:ascii="宋体" w:hAnsi="宋体" w:eastAsia="宋体" w:cs="宋体"/>
          <w:sz w:val="28"/>
          <w:szCs w:val="28"/>
        </w:rPr>
        <w:t>，主要原因是：</w:t>
      </w:r>
      <w:r>
        <w:rPr>
          <w:rFonts w:hint="eastAsia"/>
          <w:highlight w:val="none"/>
        </w:rPr>
        <w:t>主要原因是：践行中央过紧日子的文件精神，缩减经费开支</w:t>
      </w:r>
      <w:r>
        <w:rPr>
          <w:rFonts w:hint="eastAsia" w:ascii="宋体" w:hAnsi="宋体" w:eastAsia="宋体" w:cs="宋体"/>
          <w:sz w:val="28"/>
          <w:szCs w:val="28"/>
        </w:rPr>
        <w:t>。</w:t>
      </w:r>
    </w:p>
    <w:p w14:paraId="1208F7A2">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rPr>
        <w:t>2.22</w:t>
      </w:r>
      <w:r>
        <w:rPr>
          <w:rFonts w:hint="eastAsia" w:ascii="宋体" w:hAnsi="宋体" w:eastAsia="宋体" w:cs="宋体"/>
          <w:sz w:val="28"/>
          <w:szCs w:val="28"/>
        </w:rPr>
        <w:t>万元，占支出总预算的</w:t>
      </w:r>
      <w:r>
        <w:rPr>
          <w:rFonts w:ascii="宋体" w:hAnsi="宋体" w:eastAsia="宋体" w:cs="宋体"/>
          <w:sz w:val="28"/>
        </w:rPr>
        <w:t>10.48%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2.05</w:t>
      </w:r>
      <w:r>
        <w:rPr>
          <w:rFonts w:hint="eastAsia" w:ascii="宋体" w:hAnsi="宋体" w:eastAsia="宋体" w:cs="宋体"/>
          <w:sz w:val="28"/>
          <w:szCs w:val="28"/>
        </w:rPr>
        <w:t>万元，</w:t>
      </w:r>
      <w:r>
        <w:rPr>
          <w:rFonts w:ascii="宋体" w:hAnsi="宋体" w:eastAsia="宋体" w:cs="宋体"/>
          <w:sz w:val="28"/>
        </w:rPr>
        <w:t>增长0.17</w:t>
      </w:r>
      <w:r>
        <w:rPr>
          <w:rFonts w:hint="eastAsia" w:ascii="宋体" w:hAnsi="宋体" w:eastAsia="宋体" w:cs="宋体"/>
          <w:sz w:val="28"/>
          <w:szCs w:val="28"/>
        </w:rPr>
        <w:t>万元，</w:t>
      </w:r>
      <w:r>
        <w:rPr>
          <w:rFonts w:ascii="宋体" w:hAnsi="宋体" w:eastAsia="宋体" w:cs="宋体"/>
          <w:sz w:val="28"/>
        </w:rPr>
        <w:t>增长8.29%</w:t>
      </w:r>
      <w:r>
        <w:rPr>
          <w:rFonts w:hint="eastAsia" w:ascii="宋体" w:hAnsi="宋体" w:eastAsia="宋体" w:cs="宋体"/>
          <w:sz w:val="28"/>
          <w:szCs w:val="28"/>
        </w:rPr>
        <w:t>，主要原因是：</w:t>
      </w:r>
      <w:r>
        <w:rPr>
          <w:rFonts w:hint="eastAsia"/>
          <w:highlight w:val="none"/>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rPr>
        <w:t>。</w:t>
      </w:r>
    </w:p>
    <w:p w14:paraId="5B44C7C4">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rPr>
        <w:t>16.28</w:t>
      </w:r>
      <w:r>
        <w:rPr>
          <w:rFonts w:hint="eastAsia" w:ascii="宋体" w:hAnsi="宋体" w:eastAsia="宋体" w:cs="宋体"/>
          <w:sz w:val="28"/>
          <w:szCs w:val="28"/>
        </w:rPr>
        <w:t>万元，占支出总预算的</w:t>
      </w:r>
      <w:r>
        <w:rPr>
          <w:rFonts w:ascii="宋体" w:hAnsi="宋体" w:eastAsia="宋体" w:cs="宋体"/>
          <w:sz w:val="28"/>
        </w:rPr>
        <w:t>76.83%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15.74</w:t>
      </w:r>
      <w:r>
        <w:rPr>
          <w:rFonts w:hint="eastAsia" w:ascii="宋体" w:hAnsi="宋体" w:eastAsia="宋体" w:cs="宋体"/>
          <w:sz w:val="28"/>
          <w:szCs w:val="28"/>
        </w:rPr>
        <w:t>万元，</w:t>
      </w:r>
      <w:r>
        <w:rPr>
          <w:rFonts w:ascii="宋体" w:hAnsi="宋体" w:eastAsia="宋体" w:cs="宋体"/>
          <w:sz w:val="28"/>
        </w:rPr>
        <w:t>增长0.54</w:t>
      </w:r>
      <w:r>
        <w:rPr>
          <w:rFonts w:hint="eastAsia" w:ascii="宋体" w:hAnsi="宋体" w:eastAsia="宋体" w:cs="宋体"/>
          <w:sz w:val="28"/>
          <w:szCs w:val="28"/>
        </w:rPr>
        <w:t>万元，</w:t>
      </w:r>
      <w:r>
        <w:rPr>
          <w:rFonts w:ascii="宋体" w:hAnsi="宋体" w:eastAsia="宋体" w:cs="宋体"/>
          <w:sz w:val="28"/>
        </w:rPr>
        <w:t>增长3.43%</w:t>
      </w:r>
      <w:r>
        <w:rPr>
          <w:rFonts w:hint="eastAsia" w:ascii="宋体" w:hAnsi="宋体" w:eastAsia="宋体" w:cs="宋体"/>
          <w:sz w:val="28"/>
          <w:szCs w:val="28"/>
        </w:rPr>
        <w:t>，主要原因是：</w:t>
      </w:r>
      <w:r>
        <w:rPr>
          <w:rFonts w:hint="eastAsia"/>
          <w:highlight w:val="none"/>
        </w:rPr>
        <w:t>增加主要原因：人员增加，工在职在编人员工资项中职务级别等工资有所上调，养老、公积金缴存基数医疗保险及大病统筹基数按年上调</w:t>
      </w:r>
      <w:r>
        <w:rPr>
          <w:rFonts w:hint="eastAsia" w:ascii="宋体" w:hAnsi="宋体" w:eastAsia="宋体" w:cs="宋体"/>
          <w:sz w:val="28"/>
          <w:szCs w:val="28"/>
        </w:rPr>
        <w:t>。</w:t>
      </w:r>
    </w:p>
    <w:p w14:paraId="6C12C224">
      <w:pPr>
        <w:pStyle w:val="10"/>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rPr>
        <w:t>2.50</w:t>
      </w:r>
      <w:r>
        <w:rPr>
          <w:rFonts w:hint="eastAsia" w:ascii="宋体" w:hAnsi="宋体" w:eastAsia="宋体" w:cs="宋体"/>
          <w:sz w:val="28"/>
          <w:szCs w:val="28"/>
        </w:rPr>
        <w:t>万元，占支出总预算的</w:t>
      </w:r>
      <w:r>
        <w:rPr>
          <w:rFonts w:ascii="宋体" w:hAnsi="宋体" w:eastAsia="宋体" w:cs="宋体"/>
          <w:sz w:val="28"/>
        </w:rPr>
        <w:t>11.80%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2.73</w:t>
      </w:r>
      <w:r>
        <w:rPr>
          <w:rFonts w:hint="eastAsia" w:ascii="宋体" w:hAnsi="宋体" w:eastAsia="宋体" w:cs="宋体"/>
          <w:sz w:val="28"/>
          <w:szCs w:val="28"/>
        </w:rPr>
        <w:t>万元，</w:t>
      </w:r>
      <w:r>
        <w:rPr>
          <w:rFonts w:ascii="宋体" w:hAnsi="宋体" w:eastAsia="宋体" w:cs="宋体"/>
          <w:sz w:val="28"/>
        </w:rPr>
        <w:t>减少0.23</w:t>
      </w:r>
      <w:r>
        <w:rPr>
          <w:rFonts w:hint="eastAsia" w:ascii="宋体" w:hAnsi="宋体" w:eastAsia="宋体" w:cs="宋体"/>
          <w:sz w:val="28"/>
          <w:szCs w:val="28"/>
        </w:rPr>
        <w:t>万元，</w:t>
      </w:r>
      <w:r>
        <w:rPr>
          <w:rFonts w:ascii="宋体" w:hAnsi="宋体" w:eastAsia="宋体" w:cs="宋体"/>
          <w:sz w:val="28"/>
        </w:rPr>
        <w:t>减少8.42%</w:t>
      </w:r>
      <w:r>
        <w:rPr>
          <w:rFonts w:hint="eastAsia" w:ascii="宋体" w:hAnsi="宋体" w:eastAsia="宋体" w:cs="宋体"/>
          <w:sz w:val="28"/>
          <w:szCs w:val="28"/>
        </w:rPr>
        <w:t>，主要原因是：</w:t>
      </w:r>
      <w:r>
        <w:rPr>
          <w:rFonts w:hint="eastAsia"/>
          <w:highlight w:val="none"/>
        </w:rPr>
        <w:t>主要原因是：践行中央过紧日子的文件精神，缩减经费开支</w:t>
      </w:r>
      <w:r>
        <w:rPr>
          <w:rFonts w:hint="eastAsia" w:ascii="宋体" w:hAnsi="宋体" w:eastAsia="宋体" w:cs="宋体"/>
          <w:sz w:val="28"/>
          <w:szCs w:val="28"/>
        </w:rPr>
        <w:t>。</w:t>
      </w:r>
    </w:p>
    <w:p w14:paraId="1303F015">
      <w:pPr>
        <w:pStyle w:val="9"/>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六、一般公共预算基本支出情况说明</w:t>
      </w:r>
    </w:p>
    <w:p w14:paraId="2794558E">
      <w:pPr>
        <w:pStyle w:val="9"/>
        <w:spacing w:after="0"/>
        <w:ind w:firstLine="0"/>
        <w:jc w:val="left"/>
        <w:rPr>
          <w:highlight w:val="yellow"/>
          <w:lang w:val="en-US" w:eastAsia="zh-CN"/>
        </w:rPr>
      </w:pPr>
      <w:r>
        <w:rPr>
          <w:highlight w:val="none"/>
          <w:lang w:val="en-US" w:eastAsia="zh-CN"/>
        </w:rPr>
        <w:drawing>
          <wp:inline distT="0" distB="0" distL="0" distR="0">
            <wp:extent cx="5080000" cy="3810000"/>
            <wp:effectExtent l="4445" t="4445" r="20955" b="14605"/>
            <wp:docPr id="1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359F64">
      <w:pPr>
        <w:pStyle w:val="10"/>
        <w:keepNext w:val="0"/>
        <w:keepLines w:val="0"/>
        <w:pageBreakBefore w:val="0"/>
        <w:widowControl w:val="0"/>
        <w:spacing w:line="600" w:lineRule="exact"/>
        <w:ind w:left="0" w:firstLine="560"/>
        <w:jc w:val="left"/>
        <w:rPr>
          <w:rFonts w:hint="eastAsia"/>
          <w:lang w:val="en-US" w:eastAsia="zh-CN"/>
        </w:rPr>
      </w:pPr>
      <w:r>
        <w:rPr>
          <w:rFonts w:hint="eastAsia"/>
          <w:lang w:val="en-US" w:eastAsia="zh-CN"/>
        </w:rPr>
        <w:t>2024</w:t>
      </w:r>
      <w:r>
        <w:t>年</w:t>
      </w:r>
      <w:r>
        <w:rPr>
          <w:rFonts w:hint="eastAsia"/>
        </w:rPr>
        <w:t>一般公共预算基本支出共</w:t>
      </w:r>
      <w:r>
        <w:rPr>
          <w:rFonts w:hint="eastAsia"/>
          <w:lang w:val="en-US" w:eastAsia="zh-CN"/>
        </w:rPr>
        <w:t>21.19</w:t>
      </w:r>
      <w:r>
        <w:rPr>
          <w:rFonts w:hint="eastAsia"/>
        </w:rPr>
        <w:t>万元，较2023年度预算数</w:t>
      </w:r>
      <w:r>
        <w:rPr>
          <w:rFonts w:hint="eastAsia"/>
          <w:lang w:val="en-US" w:eastAsia="zh-CN"/>
        </w:rPr>
        <w:t>20.86</w:t>
      </w:r>
      <w:r>
        <w:rPr>
          <w:rFonts w:hint="eastAsia"/>
        </w:rPr>
        <w:t>万元</w:t>
      </w:r>
      <w:r>
        <w:rPr>
          <w:rFonts w:hint="eastAsia"/>
          <w:lang w:val="en-US" w:eastAsia="zh-CN"/>
        </w:rPr>
        <w:t>,</w:t>
      </w:r>
      <w:r>
        <w:t>增加0.33</w:t>
      </w:r>
      <w:r>
        <w:rPr>
          <w:rFonts w:hint="eastAsia"/>
        </w:rPr>
        <w:t>万元，</w:t>
      </w:r>
      <w:r>
        <w:rPr>
          <w:rFonts w:hint="eastAsia"/>
          <w:lang w:val="en-US" w:eastAsia="zh-CN"/>
        </w:rPr>
        <w:t>增长1.58%</w:t>
      </w:r>
      <w:r>
        <w:rPr>
          <w:rFonts w:hint="eastAsia"/>
        </w:rPr>
        <w:t>，主要原因是</w:t>
      </w:r>
      <w:r>
        <w:rPr>
          <w:rFonts w:hint="eastAsia"/>
          <w:highlight w:val="none"/>
          <w:lang w:val="en-US" w:eastAsia="zh-CN"/>
        </w:rPr>
        <w:t>增加主要原因：人员增加，工在职在编人员工资项中职务级别等工资有所上调，养老、公积金缴存基数医疗保险及大病统筹基数按年上调</w:t>
      </w:r>
      <w:r>
        <w:rPr>
          <w:rFonts w:hint="eastAsia"/>
        </w:rPr>
        <w:t>。具体情况为：</w:t>
      </w:r>
    </w:p>
    <w:p w14:paraId="063B7E63">
      <w:pPr>
        <w:pStyle w:val="10"/>
        <w:keepNext w:val="0"/>
        <w:keepLines w:val="0"/>
        <w:pageBreakBefore w:val="0"/>
        <w:widowControl w:val="0"/>
        <w:spacing w:line="600"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20.52</w:t>
      </w:r>
      <w:r>
        <w:t>万元</w:t>
      </w:r>
      <w:r>
        <w:rPr>
          <w:rFonts w:hint="eastAsia"/>
          <w:lang w:eastAsia="zh-CN"/>
        </w:rPr>
        <w:t>，</w:t>
      </w:r>
      <w:r>
        <w:rPr>
          <w:rFonts w:hint="eastAsia"/>
        </w:rPr>
        <w:t>占基本支出预算的</w:t>
      </w:r>
      <w:r>
        <w:rPr>
          <w:rFonts w:hint="eastAsia"/>
          <w:lang w:val="en-US" w:eastAsia="zh-CN"/>
        </w:rPr>
        <w:t>96.84%</w:t>
      </w:r>
      <w:r>
        <w:rPr>
          <w:rFonts w:hint="eastAsia"/>
        </w:rPr>
        <w:t>，较2023年度预算数</w:t>
      </w:r>
      <w:r>
        <w:rPr>
          <w:rFonts w:hint="eastAsia"/>
          <w:lang w:val="en-US" w:eastAsia="zh-CN"/>
        </w:rPr>
        <w:t>20.04</w:t>
      </w:r>
      <w:r>
        <w:rPr>
          <w:rFonts w:hint="eastAsia"/>
        </w:rPr>
        <w:t>万元，</w:t>
      </w:r>
      <w:r>
        <w:rPr>
          <w:rFonts w:hint="eastAsia"/>
          <w:lang w:val="en-US" w:eastAsia="zh-CN"/>
        </w:rPr>
        <w:t>增长0.48</w:t>
      </w:r>
      <w:r>
        <w:rPr>
          <w:rFonts w:hint="eastAsia"/>
        </w:rPr>
        <w:t>万元，</w:t>
      </w:r>
      <w:r>
        <w:rPr>
          <w:rFonts w:hint="eastAsia"/>
          <w:lang w:val="en-US" w:eastAsia="zh-CN"/>
        </w:rPr>
        <w:t>增长2.40%</w:t>
      </w:r>
      <w:r>
        <w:rPr>
          <w:rFonts w:hint="eastAsia"/>
        </w:rPr>
        <w:t>，主要原因是：</w:t>
      </w:r>
      <w:r>
        <w:rPr>
          <w:rFonts w:hint="eastAsia"/>
          <w:highlight w:val="none"/>
        </w:rPr>
        <w:t>增加主要原因：人员增加，工在职在编人员工资项中职务级别等工资有所上调，养老、公积金缴存基数医疗保险及大病统筹基数按年上调</w:t>
      </w:r>
      <w:r>
        <w:rPr>
          <w:rFonts w:hint="eastAsia"/>
          <w:highlight w:val="none"/>
          <w:lang w:val="en-US" w:eastAsia="zh-CN"/>
        </w:rPr>
        <w:t>。</w:t>
      </w:r>
    </w:p>
    <w:p w14:paraId="66094135">
      <w:pPr>
        <w:pStyle w:val="10"/>
        <w:keepNext w:val="0"/>
        <w:keepLines w:val="0"/>
        <w:pageBreakBefore w:val="0"/>
        <w:widowControl w:val="0"/>
        <w:spacing w:line="600"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0.67</w:t>
      </w:r>
      <w:r>
        <w:t>万元</w:t>
      </w:r>
      <w:r>
        <w:rPr>
          <w:rFonts w:hint="eastAsia"/>
          <w:lang w:eastAsia="zh-CN"/>
        </w:rPr>
        <w:t>，</w:t>
      </w:r>
      <w:r>
        <w:rPr>
          <w:rFonts w:hint="eastAsia"/>
        </w:rPr>
        <w:t>占基本支出预算的</w:t>
      </w:r>
      <w:r>
        <w:rPr>
          <w:rFonts w:hint="eastAsia"/>
          <w:lang w:val="en-US" w:eastAsia="zh-CN"/>
        </w:rPr>
        <w:t>3.16%</w:t>
      </w:r>
      <w:r>
        <w:rPr>
          <w:rFonts w:hint="eastAsia"/>
        </w:rPr>
        <w:t>，较2023年度预算数</w:t>
      </w:r>
      <w:r>
        <w:rPr>
          <w:rFonts w:hint="eastAsia"/>
          <w:lang w:val="en-US" w:eastAsia="zh-CN"/>
        </w:rPr>
        <w:t>0.82</w:t>
      </w:r>
      <w:r>
        <w:rPr>
          <w:rFonts w:hint="eastAsia"/>
        </w:rPr>
        <w:t>万元，</w:t>
      </w:r>
      <w:r>
        <w:rPr>
          <w:rFonts w:hint="eastAsia"/>
          <w:lang w:val="en-US" w:eastAsia="zh-CN"/>
        </w:rPr>
        <w:t>减少0.15</w:t>
      </w:r>
      <w:r>
        <w:rPr>
          <w:rFonts w:hint="eastAsia"/>
        </w:rPr>
        <w:t>万元，</w:t>
      </w:r>
      <w:r>
        <w:rPr>
          <w:rFonts w:hint="eastAsia"/>
          <w:lang w:val="en-US" w:eastAsia="zh-CN"/>
        </w:rPr>
        <w:t>减少18.29%</w:t>
      </w:r>
      <w:r>
        <w:rPr>
          <w:rFonts w:hint="eastAsia"/>
        </w:rPr>
        <w:t>，主要原因是：</w:t>
      </w:r>
      <w:r>
        <w:rPr>
          <w:rFonts w:hint="eastAsia"/>
          <w:highlight w:val="none"/>
        </w:rPr>
        <w:t>主要原因是：践行中央过紧日子的文件精神，缩减经费开支</w:t>
      </w:r>
      <w:r>
        <w:rPr>
          <w:rFonts w:hint="eastAsia"/>
          <w:highlight w:val="none"/>
          <w:lang w:val="en-US" w:eastAsia="zh-CN"/>
        </w:rPr>
        <w:t>。</w:t>
      </w:r>
    </w:p>
    <w:p w14:paraId="4382AF5A">
      <w:pPr>
        <w:pStyle w:val="9"/>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14:paraId="53B14BF9">
      <w:pPr>
        <w:pStyle w:val="9"/>
        <w:spacing w:after="0"/>
        <w:ind w:firstLine="0"/>
        <w:jc w:val="left"/>
        <w:rPr>
          <w:highlight w:val="yellow"/>
          <w:lang w:val="en-US" w:eastAsia="zh-CN"/>
        </w:rPr>
      </w:pPr>
      <w:r>
        <w:rPr>
          <w:rFonts w:hint="eastAsia"/>
          <w:highlight w:val="none"/>
          <w:lang w:val="en-US" w:eastAsia="zh-CN"/>
        </w:rPr>
        <w:drawing>
          <wp:inline distT="0" distB="0" distL="0" distR="0">
            <wp:extent cx="5080000" cy="3810000"/>
            <wp:effectExtent l="4445" t="4445" r="20955" b="14605"/>
            <wp:docPr id="1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2A63B0">
      <w:pPr>
        <w:pStyle w:val="9"/>
        <w:keepNext w:val="0"/>
        <w:keepLines w:val="0"/>
        <w:pageBreakBefore w:val="0"/>
        <w:widowControl w:val="0"/>
        <w:tabs>
          <w:tab w:val="left" w:pos="1253"/>
        </w:tabs>
        <w:spacing w:after="0" w:line="600" w:lineRule="exact"/>
        <w:ind w:firstLine="601"/>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14:paraId="75B935C9">
      <w:pPr>
        <w:pStyle w:val="9"/>
        <w:keepNext w:val="0"/>
        <w:keepLines w:val="0"/>
        <w:pageBreakBefore w:val="0"/>
        <w:widowControl w:val="0"/>
        <w:tabs>
          <w:tab w:val="left" w:pos="1253"/>
        </w:tabs>
        <w:spacing w:after="0" w:line="600" w:lineRule="exact"/>
        <w:ind w:firstLine="601"/>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14:paraId="1D27E661">
      <w:pPr>
        <w:pStyle w:val="9"/>
        <w:keepNext w:val="0"/>
        <w:keepLines w:val="0"/>
        <w:pageBreakBefore w:val="0"/>
        <w:widowControl w:val="0"/>
        <w:tabs>
          <w:tab w:val="left"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我部门今年没有这个预算安排</w:t>
      </w:r>
      <w:r>
        <w:rPr>
          <w:rFonts w:hint="eastAsia"/>
          <w:b w:val="0"/>
          <w:bCs w:val="0"/>
          <w:sz w:val="28"/>
          <w:szCs w:val="28"/>
        </w:rPr>
        <w:t>。</w:t>
      </w:r>
    </w:p>
    <w:p w14:paraId="203290CF">
      <w:pPr>
        <w:pStyle w:val="9"/>
        <w:keepNext w:val="0"/>
        <w:keepLines w:val="0"/>
        <w:pageBreakBefore w:val="0"/>
        <w:widowControl w:val="0"/>
        <w:tabs>
          <w:tab w:val="left"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我部门今年没有这个预算安排</w:t>
      </w:r>
      <w:r>
        <w:rPr>
          <w:rFonts w:hint="eastAsia"/>
          <w:b w:val="0"/>
          <w:bCs w:val="0"/>
          <w:sz w:val="28"/>
          <w:szCs w:val="28"/>
        </w:rPr>
        <w:t>。</w:t>
      </w:r>
    </w:p>
    <w:p w14:paraId="1D9A6316">
      <w:pPr>
        <w:pStyle w:val="9"/>
        <w:keepNext w:val="0"/>
        <w:keepLines w:val="0"/>
        <w:pageBreakBefore w:val="0"/>
        <w:widowControl w:val="0"/>
        <w:tabs>
          <w:tab w:val="left" w:pos="1253"/>
        </w:tabs>
        <w:spacing w:after="0" w:line="600" w:lineRule="exact"/>
        <w:ind w:firstLine="601"/>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，其中：</w:t>
      </w:r>
    </w:p>
    <w:p w14:paraId="2D8777EE">
      <w:pPr>
        <w:pStyle w:val="9"/>
        <w:keepNext w:val="0"/>
        <w:keepLines w:val="0"/>
        <w:pageBreakBefore w:val="0"/>
        <w:widowControl w:val="0"/>
        <w:tabs>
          <w:tab w:val="left"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我部门今年没有这个预算安排</w:t>
      </w:r>
      <w:r>
        <w:rPr>
          <w:rFonts w:hint="eastAsia"/>
          <w:b w:val="0"/>
          <w:bCs w:val="0"/>
          <w:sz w:val="28"/>
          <w:szCs w:val="28"/>
        </w:rPr>
        <w:t>。</w:t>
      </w:r>
    </w:p>
    <w:p w14:paraId="00864FAB">
      <w:pPr>
        <w:pStyle w:val="9"/>
        <w:keepNext w:val="0"/>
        <w:keepLines w:val="0"/>
        <w:pageBreakBefore w:val="0"/>
        <w:widowControl w:val="0"/>
        <w:tabs>
          <w:tab w:val="left" w:pos="1253"/>
        </w:tabs>
        <w:spacing w:after="0" w:line="600" w:lineRule="exact"/>
        <w:ind w:firstLine="601"/>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我部门今年没有这个预算安排</w:t>
      </w:r>
      <w:r>
        <w:rPr>
          <w:rFonts w:hint="eastAsia"/>
          <w:b w:val="0"/>
          <w:bCs w:val="0"/>
          <w:sz w:val="28"/>
          <w:szCs w:val="28"/>
        </w:rPr>
        <w:t>。</w:t>
      </w:r>
    </w:p>
    <w:p w14:paraId="36BB3084">
      <w:pPr>
        <w:pStyle w:val="9"/>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14:paraId="5CA77BA1">
      <w:pPr>
        <w:pStyle w:val="10"/>
        <w:keepNext w:val="0"/>
        <w:keepLines w:val="0"/>
        <w:pageBreakBefore w:val="0"/>
        <w:widowControl w:val="0"/>
        <w:spacing w:line="600" w:lineRule="exact"/>
        <w:ind w:firstLine="601"/>
        <w:jc w:val="left"/>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我部门今年没有这个预算安排</w:t>
      </w:r>
      <w:r>
        <w:rPr>
          <w:rFonts w:hint="eastAsia"/>
          <w:sz w:val="28"/>
          <w:szCs w:val="28"/>
        </w:rPr>
        <w:t>。</w:t>
      </w:r>
    </w:p>
    <w:p w14:paraId="7B91B4D6">
      <w:pPr>
        <w:pStyle w:val="9"/>
        <w:keepNext w:val="0"/>
        <w:keepLines w:val="0"/>
        <w:pageBreakBefore w:val="0"/>
        <w:widowControl w:val="0"/>
        <w:spacing w:before="120" w:after="0" w:line="600" w:lineRule="exact"/>
        <w:ind w:firstLine="618"/>
        <w:jc w:val="left"/>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14:paraId="68A004BB">
      <w:pPr>
        <w:pStyle w:val="10"/>
        <w:keepNext w:val="0"/>
        <w:keepLines w:val="0"/>
        <w:pageBreakBefore w:val="0"/>
        <w:widowControl w:val="0"/>
        <w:spacing w:line="600" w:lineRule="exact"/>
        <w:ind w:firstLine="601"/>
        <w:jc w:val="left"/>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我部门今年没有这个预算安排</w:t>
      </w:r>
      <w:r>
        <w:rPr>
          <w:rFonts w:hint="eastAsia"/>
          <w:sz w:val="28"/>
          <w:szCs w:val="28"/>
        </w:rPr>
        <w:t>。</w:t>
      </w:r>
    </w:p>
    <w:p w14:paraId="11036784">
      <w:pPr>
        <w:pStyle w:val="9"/>
        <w:keepNext w:val="0"/>
        <w:keepLines w:val="0"/>
        <w:pageBreakBefore w:val="0"/>
        <w:widowControl w:val="0"/>
        <w:tabs>
          <w:tab w:val="left" w:pos="1235"/>
        </w:tabs>
        <w:spacing w:before="120" w:after="0" w:line="600" w:lineRule="exact"/>
        <w:ind w:firstLine="578"/>
        <w:jc w:val="left"/>
        <w:rPr>
          <w:b/>
          <w:bCs/>
        </w:rPr>
      </w:pPr>
      <w:r>
        <w:rPr>
          <w:b/>
          <w:bCs/>
        </w:rPr>
        <w:t>十、其他重要事项</w:t>
      </w:r>
      <w:r>
        <w:rPr>
          <w:rFonts w:hint="eastAsia"/>
          <w:b/>
          <w:bCs/>
          <w:lang w:val="en-US" w:eastAsia="zh-CN"/>
        </w:rPr>
        <w:t>情况</w:t>
      </w:r>
      <w:r>
        <w:rPr>
          <w:b/>
          <w:bCs/>
        </w:rPr>
        <w:t>说明</w:t>
      </w:r>
    </w:p>
    <w:p w14:paraId="37F551D7">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14:paraId="67817D03">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rPr>
        <w:t>年本部门机关运行经费预算</w:t>
      </w:r>
      <w:r>
        <w:rPr>
          <w:rFonts w:hint="eastAsia" w:ascii="宋体" w:hAnsi="宋体" w:eastAsia="宋体" w:cs="宋体"/>
          <w:sz w:val="28"/>
          <w:szCs w:val="28"/>
          <w:lang w:val="en-US" w:eastAsia="zh-CN"/>
        </w:rPr>
        <w:t>0.67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下降18.29%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主要原因是：践行中央过紧日子的文件精神，缩减经费开支</w:t>
      </w:r>
      <w:r>
        <w:rPr>
          <w:rFonts w:hint="eastAsia" w:ascii="宋体" w:hAnsi="宋体" w:eastAsia="宋体" w:cs="宋体"/>
          <w:sz w:val="28"/>
          <w:szCs w:val="28"/>
          <w:lang w:eastAsia="zh-CN"/>
        </w:rPr>
        <w:t>。</w:t>
      </w:r>
    </w:p>
    <w:p w14:paraId="0146C74A">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14:paraId="4692608D">
      <w:pPr>
        <w:pStyle w:val="10"/>
        <w:keepNext w:val="0"/>
        <w:keepLines w:val="0"/>
        <w:pageBreakBefore w:val="0"/>
        <w:widowControl w:val="0"/>
        <w:spacing w:line="600" w:lineRule="exact"/>
        <w:ind w:firstLine="601"/>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14:paraId="28DFE05B">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14:paraId="5928052D">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14:paraId="7E82C9A5">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14:paraId="63E6BBB2">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14:paraId="5D182DB1">
      <w:pPr>
        <w:pStyle w:val="10"/>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14:paraId="4C3F61DE">
      <w:pPr>
        <w:pStyle w:val="10"/>
        <w:keepNext w:val="0"/>
        <w:keepLines w:val="0"/>
        <w:pageBreakBefore w:val="0"/>
        <w:widowControl w:val="0"/>
        <w:spacing w:line="600" w:lineRule="exact"/>
        <w:ind w:firstLine="601"/>
        <w:jc w:val="left"/>
        <w:rPr>
          <w:rFonts w:hint="eastAsia"/>
          <w:sz w:val="28"/>
          <w:szCs w:val="28"/>
          <w:highlight w:val="none"/>
          <w:lang w:val="en-US" w:eastAsia="zh-CN"/>
        </w:rPr>
      </w:pPr>
      <w:r>
        <w:rPr>
          <w:rFonts w:hint="eastAsia"/>
          <w:sz w:val="28"/>
          <w:szCs w:val="28"/>
          <w:highlight w:val="none"/>
          <w:lang w:val="en-US" w:eastAsia="zh-CN"/>
        </w:rPr>
        <w:t>我部门今年没有这个预算安排</w:t>
      </w:r>
    </w:p>
    <w:p w14:paraId="70A70EBF">
      <w:pPr>
        <w:pStyle w:val="10"/>
        <w:spacing w:line="624" w:lineRule="exact"/>
        <w:ind w:firstLine="600"/>
        <w:jc w:val="left"/>
        <w:rPr>
          <w:rFonts w:hint="eastAsia"/>
          <w:sz w:val="28"/>
          <w:szCs w:val="28"/>
          <w:highlight w:val="none"/>
          <w:lang w:val="en-US" w:eastAsia="zh-CN"/>
        </w:rPr>
      </w:pPr>
    </w:p>
    <w:p w14:paraId="3975DFD8">
      <w:pPr>
        <w:pStyle w:val="10"/>
        <w:spacing w:line="624" w:lineRule="exact"/>
        <w:jc w:val="left"/>
        <w:rPr>
          <w:rFonts w:hint="default"/>
          <w:sz w:val="28"/>
          <w:szCs w:val="28"/>
          <w:highlight w:val="none"/>
          <w:lang w:val="en-US" w:eastAsia="zh-CN"/>
        </w:rPr>
        <w:sectPr>
          <w:headerReference r:id="rId4" w:type="default"/>
          <w:footerReference r:id="rId5" w:type="default"/>
          <w:pgSz w:w="11900" w:h="16840" w:orient="landscape"/>
          <w:pgMar w:top="1440" w:right="1800" w:bottom="1440" w:left="1800" w:header="0" w:footer="1077" w:gutter="0"/>
          <w:cols w:space="720" w:num="1"/>
        </w:sectPr>
      </w:pPr>
    </w:p>
    <w:bookmarkEnd w:id="10"/>
    <w:bookmarkEnd w:id="11"/>
    <w:bookmarkEnd w:id="12"/>
    <w:p w14:paraId="18ADC296">
      <w:pPr>
        <w:pStyle w:val="8"/>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环江毛南族自治县思恩镇扶贫站</w:t>
      </w:r>
      <w:r>
        <w:rPr>
          <w:rFonts w:ascii="宋体" w:hAnsi="宋体" w:eastAsia="宋体" w:cs="宋体"/>
          <w:b/>
          <w:sz w:val="36"/>
        </w:rPr>
        <w:t>2024年</w:t>
      </w:r>
      <w:r>
        <w:rPr>
          <w:rFonts w:hint="eastAsia" w:ascii="宋体" w:hAnsi="宋体" w:eastAsia="宋体" w:cs="宋体"/>
          <w:b/>
          <w:bCs/>
          <w:sz w:val="36"/>
          <w:szCs w:val="36"/>
        </w:rPr>
        <w:t>部门预算表</w:t>
      </w:r>
    </w:p>
    <w:p w14:paraId="5C50F9BD">
      <w:pPr>
        <w:pStyle w:val="1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14:paraId="7A8EA4D4">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noWrap w:val="0"/>
          </w:tcPr>
          <w:p w14:paraId="73F831CD">
            <w:pPr>
              <w:pStyle w:val="13"/>
              <w:spacing w:line="240" w:lineRule="auto"/>
              <w:ind w:firstLine="0"/>
              <w:jc w:val="left"/>
              <w:rPr>
                <w:sz w:val="17"/>
                <w:szCs w:val="17"/>
              </w:rPr>
            </w:pPr>
            <w:r>
              <w:rPr>
                <w:sz w:val="17"/>
                <w:szCs w:val="17"/>
              </w:rPr>
              <w:t>单位名称：</w:t>
            </w:r>
            <w:r>
              <w:rPr>
                <w:rFonts w:hint="eastAsia"/>
                <w:sz w:val="17"/>
                <w:szCs w:val="17"/>
                <w:lang w:eastAsia="zh-CN"/>
              </w:rPr>
              <w:t>环江毛南族自治县思恩镇扶贫站</w:t>
            </w:r>
          </w:p>
        </w:tc>
        <w:tc>
          <w:tcPr>
            <w:tcW w:w="3571" w:type="dxa"/>
            <w:tcBorders>
              <w:bottom w:val="single" w:color="auto" w:sz="4" w:space="0"/>
            </w:tcBorders>
            <w:shd w:val="clear" w:color="auto" w:fill="FFFFFF"/>
            <w:noWrap w:val="0"/>
          </w:tcPr>
          <w:p w14:paraId="71E94650">
            <w:pPr>
              <w:pStyle w:val="13"/>
              <w:spacing w:line="240" w:lineRule="auto"/>
              <w:ind w:firstLine="2380"/>
              <w:jc w:val="left"/>
              <w:rPr>
                <w:sz w:val="17"/>
                <w:szCs w:val="17"/>
              </w:rPr>
            </w:pPr>
            <w:r>
              <w:rPr>
                <w:sz w:val="17"/>
                <w:szCs w:val="17"/>
              </w:rPr>
              <w:t>单位：万元</w:t>
            </w:r>
          </w:p>
        </w:tc>
      </w:tr>
      <w:tr w14:paraId="35C76EF3">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3DE6B2">
            <w:pPr>
              <w:pStyle w:val="13"/>
              <w:spacing w:line="240" w:lineRule="auto"/>
              <w:ind w:firstLine="289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19B8338">
            <w:pPr>
              <w:pStyle w:val="13"/>
              <w:spacing w:line="240" w:lineRule="auto"/>
              <w:ind w:right="340" w:firstLine="2890"/>
              <w:jc w:val="both"/>
              <w:rPr>
                <w:sz w:val="17"/>
                <w:szCs w:val="17"/>
              </w:rPr>
            </w:pPr>
            <w:r>
              <w:rPr>
                <w:sz w:val="17"/>
                <w:szCs w:val="17"/>
              </w:rPr>
              <w:t>支出</w:t>
            </w:r>
          </w:p>
        </w:tc>
      </w:tr>
      <w:tr w14:paraId="325AB3B3">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81EC6">
            <w:pPr>
              <w:pStyle w:val="13"/>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ADEAA4">
            <w:pPr>
              <w:pStyle w:val="13"/>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3C2A1">
            <w:pPr>
              <w:pStyle w:val="13"/>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7D467">
            <w:pPr>
              <w:pStyle w:val="13"/>
              <w:spacing w:line="240" w:lineRule="auto"/>
              <w:ind w:firstLine="0"/>
              <w:jc w:val="left"/>
              <w:rPr>
                <w:sz w:val="17"/>
                <w:szCs w:val="17"/>
              </w:rPr>
            </w:pPr>
            <w:r>
              <w:rPr>
                <w:sz w:val="17"/>
                <w:szCs w:val="17"/>
              </w:rPr>
              <w:t>预算数</w:t>
            </w:r>
          </w:p>
        </w:tc>
      </w:tr>
      <w:tr w14:paraId="79F616D7">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BF468">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96071">
            <w:pPr>
              <w:pStyle w:val="13"/>
              <w:spacing w:line="240" w:lineRule="auto"/>
              <w:ind w:firstLine="0"/>
              <w:jc w:val="left"/>
              <w:rPr>
                <w:rFonts w:hint="default" w:eastAsia="宋体"/>
                <w:sz w:val="17"/>
                <w:szCs w:val="17"/>
                <w:lang w:val="en-US" w:eastAsia="zh-CN"/>
              </w:rPr>
            </w:pPr>
            <w:r>
              <w:rPr>
                <w:rFonts w:hint="eastAsia"/>
                <w:sz w:val="17"/>
                <w:szCs w:val="17"/>
                <w:lang w:val="en-US" w:eastAsia="zh-CN"/>
              </w:rPr>
              <w:t>21.19</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9FF78">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459C7">
            <w:pPr>
              <w:pStyle w:val="13"/>
              <w:spacing w:line="240" w:lineRule="auto"/>
              <w:ind w:firstLine="0"/>
              <w:jc w:val="left"/>
              <w:rPr>
                <w:rFonts w:hint="default" w:eastAsia="宋体"/>
                <w:sz w:val="17"/>
                <w:szCs w:val="17"/>
                <w:lang w:val="en-US" w:eastAsia="zh-CN"/>
              </w:rPr>
            </w:pPr>
            <w:r>
              <w:rPr>
                <w:rFonts w:hint="eastAsia"/>
                <w:sz w:val="17"/>
                <w:szCs w:val="17"/>
                <w:lang w:val="en-US" w:eastAsia="zh-CN"/>
              </w:rPr>
              <w:t>0.19</w:t>
            </w:r>
          </w:p>
        </w:tc>
      </w:tr>
      <w:tr w14:paraId="6EEB2614">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7E3F7E">
            <w:pPr>
              <w:pStyle w:val="13"/>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34166C">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E7A2A8">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0B278">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717347F4">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5EBF8">
            <w:pPr>
              <w:pStyle w:val="13"/>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A0B07F">
            <w:pPr>
              <w:pStyle w:val="13"/>
              <w:spacing w:line="240" w:lineRule="auto"/>
              <w:ind w:firstLine="0"/>
              <w:jc w:val="left"/>
              <w:rPr>
                <w:rFonts w:hint="default" w:eastAsia="宋体"/>
                <w:sz w:val="17"/>
                <w:szCs w:val="17"/>
                <w:lang w:val="en-US" w:eastAsia="zh-CN"/>
              </w:rPr>
            </w:pPr>
            <w:r>
              <w:rPr>
                <w:rFonts w:hint="eastAsia"/>
                <w:sz w:val="17"/>
                <w:szCs w:val="17"/>
                <w:lang w:val="en-US" w:eastAsia="zh-CN"/>
              </w:rPr>
              <w:t>21.19</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C5740">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473C9E">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22D0CA05">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04578">
            <w:pPr>
              <w:pStyle w:val="13"/>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81100">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4C528">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C4C9F">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6C6872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76C8B">
            <w:pPr>
              <w:pStyle w:val="13"/>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0F905">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94625A">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DC7E6">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C023A4F">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420DE">
            <w:pPr>
              <w:pStyle w:val="13"/>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78A73">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E118F">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61A369">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8A021C1">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45552D">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5DA37">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5AE8F9">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31C64">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56CE8FB">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EC506">
            <w:pPr>
              <w:pStyle w:val="13"/>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B3E40">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50192">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649BC">
            <w:pPr>
              <w:pStyle w:val="13"/>
              <w:spacing w:line="240" w:lineRule="auto"/>
              <w:ind w:firstLine="0"/>
              <w:jc w:val="left"/>
              <w:rPr>
                <w:rFonts w:hint="default" w:eastAsia="宋体"/>
                <w:sz w:val="17"/>
                <w:szCs w:val="17"/>
                <w:lang w:val="en-US" w:eastAsia="zh-CN"/>
              </w:rPr>
            </w:pPr>
            <w:r>
              <w:rPr>
                <w:rFonts w:hint="eastAsia"/>
                <w:sz w:val="17"/>
                <w:szCs w:val="17"/>
                <w:lang w:val="en-US" w:eastAsia="zh-CN"/>
              </w:rPr>
              <w:t>2.50</w:t>
            </w:r>
          </w:p>
        </w:tc>
      </w:tr>
      <w:tr w14:paraId="637C1505">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D8B99">
            <w:pPr>
              <w:pStyle w:val="13"/>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C7C9D2">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12F02">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DF94C">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2B34C5C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4D643">
            <w:pPr>
              <w:pStyle w:val="13"/>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C2EFE">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B1EF2">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A66E4">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2007BBA">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62B2F">
            <w:pPr>
              <w:pStyle w:val="13"/>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BE6A9">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79BA">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A97C2">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7E668635">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D9457">
            <w:pPr>
              <w:pStyle w:val="13"/>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FB17C">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76029">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1D73A">
            <w:pPr>
              <w:pStyle w:val="13"/>
              <w:spacing w:line="240" w:lineRule="auto"/>
              <w:ind w:firstLine="0"/>
              <w:jc w:val="left"/>
              <w:rPr>
                <w:rFonts w:hint="default" w:eastAsia="宋体"/>
                <w:sz w:val="17"/>
                <w:szCs w:val="17"/>
                <w:lang w:val="en-US" w:eastAsia="zh-CN"/>
              </w:rPr>
            </w:pPr>
            <w:r>
              <w:rPr>
                <w:rFonts w:hint="eastAsia"/>
                <w:sz w:val="17"/>
                <w:szCs w:val="17"/>
                <w:lang w:val="en-US" w:eastAsia="zh-CN"/>
              </w:rPr>
              <w:t>16.28</w:t>
            </w:r>
          </w:p>
        </w:tc>
      </w:tr>
      <w:tr w14:paraId="2C29B6C1">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B8270">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8FD0C">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1D6088">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9731E">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56C68CF2">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6702A">
            <w:pPr>
              <w:pStyle w:val="13"/>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EAA12">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3247">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F380C">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904F084">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C7BCB">
            <w:pPr>
              <w:pStyle w:val="13"/>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FB90AD">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589C27">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A102E">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7FFABEF1">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0AF499">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9B7F3">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993CC">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08695">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39CB153">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944245">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DC1E65">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23691">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40CF1">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5C3EF6BB">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6CCA0">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AA40A">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DEC5AC">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EBAD9">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2E7D650">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C12FA">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063DC">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CA65A">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55F64">
            <w:pPr>
              <w:pStyle w:val="13"/>
              <w:spacing w:line="240" w:lineRule="auto"/>
              <w:ind w:firstLine="0"/>
              <w:jc w:val="left"/>
              <w:rPr>
                <w:rFonts w:hint="default" w:eastAsia="宋体"/>
                <w:sz w:val="17"/>
                <w:szCs w:val="17"/>
                <w:lang w:val="en-US" w:eastAsia="zh-CN"/>
              </w:rPr>
            </w:pPr>
            <w:r>
              <w:rPr>
                <w:rFonts w:hint="eastAsia"/>
                <w:sz w:val="17"/>
                <w:szCs w:val="17"/>
                <w:lang w:val="en-US" w:eastAsia="zh-CN"/>
              </w:rPr>
              <w:t>2.22</w:t>
            </w:r>
          </w:p>
        </w:tc>
      </w:tr>
      <w:tr w14:paraId="73FCC133">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2ED1B">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37557">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5443E">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E5A72B">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3191878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BDEFD">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07C03">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E9195">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8F5DFC">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947F043">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C18A8">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C410D">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A0789">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AA638">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4D2EE92">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EEBC2">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E28B60">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3CF25">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FB980">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5175445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3E91D">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1E778">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1DE88">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56E00">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75B1133A">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6763C">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ACA9B">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7167B">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12E21">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79B39A18">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0F6A7">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73439">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ECF5B">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B32AE">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3FD76057">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57BDA">
            <w:pPr>
              <w:pStyle w:val="13"/>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D5859">
            <w:pPr>
              <w:pStyle w:val="13"/>
              <w:spacing w:line="240" w:lineRule="auto"/>
              <w:ind w:firstLine="0"/>
              <w:jc w:val="left"/>
              <w:rPr>
                <w:rFonts w:hint="default" w:eastAsia="宋体"/>
                <w:sz w:val="17"/>
                <w:szCs w:val="17"/>
                <w:lang w:val="en-US" w:eastAsia="zh-CN"/>
              </w:rPr>
            </w:pPr>
            <w:r>
              <w:rPr>
                <w:rFonts w:hint="eastAsia"/>
                <w:sz w:val="17"/>
                <w:szCs w:val="17"/>
                <w:lang w:val="en-US" w:eastAsia="zh-CN"/>
              </w:rPr>
              <w:t>21.19</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BF95F">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0CE26">
            <w:pPr>
              <w:pStyle w:val="13"/>
              <w:spacing w:line="240" w:lineRule="auto"/>
              <w:ind w:firstLine="0"/>
              <w:jc w:val="left"/>
              <w:rPr>
                <w:rFonts w:hint="default" w:eastAsia="宋体"/>
                <w:sz w:val="17"/>
                <w:szCs w:val="17"/>
                <w:lang w:val="en-US" w:eastAsia="zh-CN"/>
              </w:rPr>
            </w:pPr>
            <w:r>
              <w:rPr>
                <w:rFonts w:hint="eastAsia"/>
                <w:sz w:val="17"/>
                <w:szCs w:val="17"/>
                <w:lang w:val="en-US" w:eastAsia="zh-CN"/>
              </w:rPr>
              <w:t>21.19</w:t>
            </w:r>
          </w:p>
        </w:tc>
      </w:tr>
      <w:tr w14:paraId="05300352">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78D0F">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1F229">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5FEA1">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FB117">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30B19D7F">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FCBA4">
            <w:pPr>
              <w:pStyle w:val="13"/>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9EFA0">
            <w:pPr>
              <w:pStyle w:val="13"/>
              <w:spacing w:line="240" w:lineRule="auto"/>
              <w:ind w:firstLine="0"/>
              <w:jc w:val="left"/>
              <w:rPr>
                <w:rFonts w:hint="default" w:eastAsia="宋体"/>
                <w:sz w:val="17"/>
                <w:szCs w:val="17"/>
                <w:lang w:val="en-US" w:eastAsia="zh-CN"/>
              </w:rPr>
            </w:pPr>
            <w:r>
              <w:rPr>
                <w:rFonts w:hint="eastAsia"/>
                <w:sz w:val="17"/>
                <w:szCs w:val="17"/>
                <w:lang w:val="en-US" w:eastAsia="zh-CN"/>
              </w:rPr>
              <w:t>21.19</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6AB5A2">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6C841">
            <w:pPr>
              <w:pStyle w:val="13"/>
              <w:spacing w:line="240" w:lineRule="auto"/>
              <w:ind w:firstLine="0"/>
              <w:jc w:val="left"/>
              <w:rPr>
                <w:rFonts w:hint="default" w:eastAsia="宋体"/>
                <w:sz w:val="17"/>
                <w:szCs w:val="17"/>
                <w:lang w:val="en-US" w:eastAsia="zh-CN"/>
              </w:rPr>
            </w:pPr>
            <w:r>
              <w:rPr>
                <w:rFonts w:hint="eastAsia"/>
                <w:sz w:val="17"/>
                <w:szCs w:val="17"/>
                <w:lang w:val="en-US" w:eastAsia="zh-CN"/>
              </w:rPr>
              <w:t>21.19</w:t>
            </w:r>
          </w:p>
        </w:tc>
      </w:tr>
    </w:tbl>
    <w:p w14:paraId="17331FC0">
      <w:pPr>
        <w:pStyle w:val="14"/>
        <w:ind w:left="101"/>
        <w:jc w:val="left"/>
      </w:pPr>
      <w:r>
        <w:t>注：报表金额单位转换时可能存在四舍五入尾数误差。</w:t>
      </w:r>
    </w:p>
    <w:p w14:paraId="4993AE92">
      <w:pPr>
        <w:tabs>
          <w:tab w:val="left" w:pos="859"/>
        </w:tabs>
        <w:jc w:val="left"/>
        <w:rPr>
          <w:rFonts w:eastAsia="宋体"/>
          <w:lang w:eastAsia="zh-CN"/>
        </w:rPr>
      </w:pPr>
    </w:p>
    <w:p w14:paraId="0F057F13">
      <w:pPr>
        <w:tabs>
          <w:tab w:val="left" w:pos="859"/>
        </w:tabs>
        <w:jc w:val="left"/>
        <w:rPr>
          <w:rFonts w:eastAsia="宋体"/>
          <w:lang w:eastAsia="zh-CN"/>
        </w:rPr>
      </w:pPr>
    </w:p>
    <w:p w14:paraId="3CE887CD">
      <w:pPr>
        <w:tabs>
          <w:tab w:val="left" w:pos="859"/>
        </w:tabs>
        <w:jc w:val="left"/>
        <w:rPr>
          <w:rFonts w:eastAsia="宋体"/>
          <w:lang w:eastAsia="zh-CN"/>
        </w:rPr>
      </w:pPr>
    </w:p>
    <w:p w14:paraId="3AA0AFCC">
      <w:pPr>
        <w:tabs>
          <w:tab w:val="left" w:pos="859"/>
        </w:tabs>
        <w:jc w:val="left"/>
        <w:rPr>
          <w:rFonts w:eastAsia="宋体"/>
          <w:lang w:eastAsia="zh-CN"/>
        </w:rPr>
        <w:sectPr>
          <w:headerReference r:id="rId6" w:type="default"/>
          <w:footerReference r:id="rId7" w:type="default"/>
          <w:pgSz w:w="16840" w:h="11900"/>
          <w:pgMar w:top="2397" w:right="761" w:bottom="1966" w:left="739" w:header="0" w:footer="1474" w:gutter="0"/>
          <w:cols w:space="720" w:num="1"/>
        </w:sectPr>
      </w:pPr>
    </w:p>
    <w:p w14:paraId="6168A8B7">
      <w:pPr>
        <w:tabs>
          <w:tab w:val="left" w:pos="859"/>
        </w:tabs>
        <w:jc w:val="left"/>
        <w:rPr>
          <w:rFonts w:eastAsia="宋体"/>
          <w:lang w:eastAsia="zh-CN"/>
        </w:rPr>
      </w:pPr>
    </w:p>
    <w:p w14:paraId="3065FB22">
      <w:pPr>
        <w:tabs>
          <w:tab w:val="left" w:pos="859"/>
        </w:tabs>
        <w:jc w:val="center"/>
        <w:rPr>
          <w:rFonts w:hint="eastAsia" w:eastAsia="宋体"/>
          <w:lang w:val="en-US" w:eastAsia="zh-CN"/>
        </w:rPr>
      </w:pPr>
    </w:p>
    <w:p w14:paraId="30BBB42B">
      <w:pPr>
        <w:tabs>
          <w:tab w:val="left" w:pos="859"/>
        </w:tabs>
        <w:jc w:val="center"/>
        <w:rPr>
          <w:rFonts w:hint="eastAsia" w:eastAsia="宋体"/>
          <w:lang w:val="en-US" w:eastAsia="zh-CN"/>
        </w:rPr>
      </w:pPr>
      <w:r>
        <w:rPr>
          <w:rFonts w:hint="eastAsia" w:eastAsia="宋体"/>
          <w:lang w:val="en-US" w:eastAsia="zh-CN"/>
        </w:rPr>
        <w:t>收入总体情况表</w:t>
      </w:r>
    </w:p>
    <w:p w14:paraId="467C0E6A">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14:paraId="42A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3481" w:type="dxa"/>
            <w:gridSpan w:val="13"/>
            <w:tcBorders>
              <w:top w:val="nil"/>
              <w:left w:val="nil"/>
              <w:right w:val="nil"/>
            </w:tcBorders>
            <w:noWrap w:val="0"/>
          </w:tcPr>
          <w:p w14:paraId="25F32541">
            <w:pPr>
              <w:pStyle w:val="14"/>
              <w:jc w:val="both"/>
              <w:rPr>
                <w:rFonts w:hint="eastAsia"/>
                <w:lang w:val="en-US" w:eastAsia="zh-CN"/>
              </w:rPr>
            </w:pPr>
            <w:r>
              <w:rPr>
                <w:sz w:val="17"/>
                <w:szCs w:val="17"/>
              </w:rPr>
              <w:t>单位名称：</w:t>
            </w:r>
            <w:r>
              <w:rPr>
                <w:rFonts w:hint="eastAsia"/>
                <w:sz w:val="17"/>
                <w:szCs w:val="17"/>
                <w:lang w:eastAsia="zh-CN"/>
              </w:rPr>
              <w:t>环江毛南族自治县思恩镇扶贫站</w:t>
            </w:r>
          </w:p>
        </w:tc>
        <w:tc>
          <w:tcPr>
            <w:tcW w:w="2076" w:type="dxa"/>
            <w:gridSpan w:val="3"/>
            <w:tcBorders>
              <w:top w:val="nil"/>
              <w:left w:val="nil"/>
              <w:right w:val="nil"/>
            </w:tcBorders>
            <w:noWrap w:val="0"/>
          </w:tcPr>
          <w:p w14:paraId="73718BB2">
            <w:pPr>
              <w:pStyle w:val="14"/>
              <w:ind w:firstLine="340"/>
              <w:jc w:val="left"/>
              <w:rPr>
                <w:rFonts w:hint="eastAsia"/>
                <w:lang w:val="en-US" w:eastAsia="zh-CN"/>
              </w:rPr>
            </w:pPr>
            <w:r>
              <w:rPr>
                <w:sz w:val="17"/>
                <w:szCs w:val="17"/>
              </w:rPr>
              <w:t>单位：万元</w:t>
            </w:r>
          </w:p>
        </w:tc>
      </w:tr>
      <w:tr w14:paraId="0FB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noWrap w:val="0"/>
            <w:vAlign w:val="center"/>
          </w:tcPr>
          <w:p w14:paraId="232A116B">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noWrap w:val="0"/>
            <w:vAlign w:val="center"/>
          </w:tcPr>
          <w:p w14:paraId="19331867">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noWrap w:val="0"/>
            <w:vAlign w:val="center"/>
          </w:tcPr>
          <w:p w14:paraId="47E30E5A">
            <w:pPr>
              <w:pStyle w:val="13"/>
              <w:spacing w:line="240" w:lineRule="auto"/>
              <w:ind w:left="0" w:firstLine="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noWrap w:val="0"/>
          </w:tcPr>
          <w:p w14:paraId="3541F736">
            <w:pPr>
              <w:tabs>
                <w:tab w:val="left" w:pos="859"/>
              </w:tabs>
              <w:jc w:val="center"/>
              <w:rPr>
                <w:rFonts w:hint="eastAsia" w:eastAsia="宋体"/>
                <w:vertAlign w:val="baseline"/>
                <w:lang w:val="en-US" w:eastAsia="zh-CN"/>
              </w:rPr>
            </w:pPr>
            <w:r>
              <w:rPr>
                <w:sz w:val="17"/>
                <w:szCs w:val="17"/>
              </w:rPr>
              <w:t>本年收入</w:t>
            </w:r>
          </w:p>
        </w:tc>
        <w:tc>
          <w:tcPr>
            <w:tcW w:w="5809" w:type="dxa"/>
            <w:gridSpan w:val="7"/>
            <w:noWrap w:val="0"/>
          </w:tcPr>
          <w:p w14:paraId="43C81033">
            <w:pPr>
              <w:tabs>
                <w:tab w:val="left" w:pos="859"/>
              </w:tabs>
              <w:jc w:val="center"/>
              <w:rPr>
                <w:rFonts w:hint="eastAsia" w:eastAsia="宋体"/>
                <w:vertAlign w:val="baseline"/>
                <w:lang w:val="en-US" w:eastAsia="zh-CN"/>
              </w:rPr>
            </w:pPr>
            <w:r>
              <w:rPr>
                <w:sz w:val="17"/>
                <w:szCs w:val="17"/>
              </w:rPr>
              <w:t>上年结转结余</w:t>
            </w:r>
          </w:p>
        </w:tc>
      </w:tr>
      <w:tr w14:paraId="2963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noWrap w:val="0"/>
          </w:tcPr>
          <w:p w14:paraId="74FD6756">
            <w:pPr>
              <w:tabs>
                <w:tab w:val="left" w:pos="859"/>
              </w:tabs>
              <w:jc w:val="center"/>
              <w:rPr>
                <w:rFonts w:hint="eastAsia" w:eastAsia="宋体"/>
                <w:vertAlign w:val="baseline"/>
                <w:lang w:val="en-US" w:eastAsia="zh-CN"/>
              </w:rPr>
            </w:pPr>
          </w:p>
        </w:tc>
        <w:tc>
          <w:tcPr>
            <w:tcW w:w="1279" w:type="dxa"/>
            <w:vMerge w:val="continue"/>
            <w:noWrap w:val="0"/>
          </w:tcPr>
          <w:p w14:paraId="6606B1E0">
            <w:pPr>
              <w:tabs>
                <w:tab w:val="left" w:pos="859"/>
              </w:tabs>
              <w:jc w:val="center"/>
              <w:rPr>
                <w:rFonts w:hint="eastAsia" w:eastAsia="宋体"/>
                <w:vertAlign w:val="baseline"/>
                <w:lang w:val="en-US" w:eastAsia="zh-CN"/>
              </w:rPr>
            </w:pPr>
          </w:p>
        </w:tc>
        <w:tc>
          <w:tcPr>
            <w:tcW w:w="990" w:type="dxa"/>
            <w:vMerge w:val="continue"/>
            <w:noWrap w:val="0"/>
            <w:vAlign w:val="center"/>
          </w:tcPr>
          <w:p w14:paraId="5B5AC412">
            <w:pPr>
              <w:pStyle w:val="13"/>
              <w:spacing w:line="240" w:lineRule="auto"/>
              <w:ind w:firstLine="300"/>
              <w:jc w:val="center"/>
              <w:rPr>
                <w:rFonts w:hint="eastAsia" w:eastAsia="宋体"/>
                <w:vertAlign w:val="baseline"/>
                <w:lang w:val="en-US" w:eastAsia="zh-CN"/>
              </w:rPr>
            </w:pPr>
          </w:p>
        </w:tc>
        <w:tc>
          <w:tcPr>
            <w:tcW w:w="926" w:type="dxa"/>
            <w:noWrap w:val="0"/>
            <w:vAlign w:val="center"/>
          </w:tcPr>
          <w:p w14:paraId="0B4242C2">
            <w:pPr>
              <w:pStyle w:val="13"/>
              <w:spacing w:line="240" w:lineRule="auto"/>
              <w:ind w:firstLine="300"/>
              <w:jc w:val="center"/>
              <w:rPr>
                <w:rFonts w:hint="eastAsia" w:eastAsia="宋体"/>
                <w:vertAlign w:val="baseline"/>
                <w:lang w:val="en-US" w:eastAsia="zh-CN"/>
              </w:rPr>
            </w:pPr>
            <w:r>
              <w:rPr>
                <w:sz w:val="17"/>
                <w:szCs w:val="17"/>
              </w:rPr>
              <w:t>小计</w:t>
            </w:r>
          </w:p>
        </w:tc>
        <w:tc>
          <w:tcPr>
            <w:tcW w:w="909" w:type="dxa"/>
            <w:noWrap w:val="0"/>
            <w:vAlign w:val="center"/>
          </w:tcPr>
          <w:p w14:paraId="41985ECF">
            <w:pPr>
              <w:pStyle w:val="13"/>
              <w:spacing w:line="317" w:lineRule="exact"/>
              <w:ind w:firstLine="0"/>
              <w:jc w:val="center"/>
              <w:rPr>
                <w:rFonts w:hint="eastAsia" w:eastAsia="宋体"/>
                <w:vertAlign w:val="baseline"/>
                <w:lang w:val="en-US" w:eastAsia="zh-CN"/>
              </w:rPr>
            </w:pPr>
            <w:r>
              <w:rPr>
                <w:sz w:val="17"/>
                <w:szCs w:val="17"/>
              </w:rPr>
              <w:t>一般公共预算</w:t>
            </w:r>
          </w:p>
        </w:tc>
        <w:tc>
          <w:tcPr>
            <w:tcW w:w="968" w:type="dxa"/>
            <w:noWrap w:val="0"/>
            <w:vAlign w:val="center"/>
          </w:tcPr>
          <w:p w14:paraId="59717DBD">
            <w:pPr>
              <w:pStyle w:val="13"/>
              <w:spacing w:line="317" w:lineRule="exact"/>
              <w:ind w:firstLine="0"/>
              <w:jc w:val="center"/>
              <w:rPr>
                <w:rFonts w:hint="eastAsia" w:eastAsia="宋体"/>
                <w:vertAlign w:val="baseline"/>
                <w:lang w:val="en-US" w:eastAsia="zh-CN"/>
              </w:rPr>
            </w:pPr>
            <w:r>
              <w:rPr>
                <w:sz w:val="17"/>
                <w:szCs w:val="17"/>
              </w:rPr>
              <w:t>政府性基金预算</w:t>
            </w:r>
          </w:p>
        </w:tc>
        <w:tc>
          <w:tcPr>
            <w:tcW w:w="990" w:type="dxa"/>
            <w:noWrap w:val="0"/>
            <w:vAlign w:val="center"/>
          </w:tcPr>
          <w:p w14:paraId="51635348">
            <w:pPr>
              <w:pStyle w:val="13"/>
              <w:spacing w:line="317" w:lineRule="exact"/>
              <w:ind w:firstLine="0"/>
              <w:jc w:val="center"/>
              <w:rPr>
                <w:rFonts w:hint="eastAsia" w:eastAsia="宋体"/>
                <w:vertAlign w:val="baseline"/>
                <w:lang w:val="en-US" w:eastAsia="zh-CN"/>
              </w:rPr>
            </w:pPr>
            <w:r>
              <w:rPr>
                <w:sz w:val="17"/>
                <w:szCs w:val="17"/>
              </w:rPr>
              <w:t>国有资本经营预算</w:t>
            </w:r>
          </w:p>
        </w:tc>
        <w:tc>
          <w:tcPr>
            <w:tcW w:w="1078" w:type="dxa"/>
            <w:noWrap w:val="0"/>
          </w:tcPr>
          <w:p w14:paraId="1EA209CB">
            <w:pPr>
              <w:pStyle w:val="13"/>
              <w:spacing w:line="312" w:lineRule="exact"/>
              <w:ind w:firstLine="0"/>
              <w:jc w:val="center"/>
              <w:rPr>
                <w:sz w:val="17"/>
                <w:szCs w:val="17"/>
              </w:rPr>
            </w:pPr>
            <w:r>
              <w:rPr>
                <w:sz w:val="17"/>
                <w:szCs w:val="17"/>
              </w:rPr>
              <w:t>财政专户管理资金</w:t>
            </w:r>
          </w:p>
          <w:p w14:paraId="02C7BE5E">
            <w:pPr>
              <w:pStyle w:val="13"/>
              <w:spacing w:line="312" w:lineRule="exact"/>
              <w:ind w:firstLine="0"/>
              <w:jc w:val="center"/>
              <w:rPr>
                <w:rFonts w:hint="eastAsia" w:eastAsia="宋体"/>
                <w:vertAlign w:val="baseline"/>
                <w:lang w:val="en-US" w:eastAsia="zh-CN"/>
              </w:rPr>
            </w:pPr>
            <w:r>
              <w:rPr>
                <w:sz w:val="17"/>
                <w:szCs w:val="17"/>
              </w:rPr>
              <w:t>收入</w:t>
            </w:r>
          </w:p>
        </w:tc>
        <w:tc>
          <w:tcPr>
            <w:tcW w:w="972" w:type="dxa"/>
            <w:noWrap w:val="0"/>
            <w:vAlign w:val="center"/>
          </w:tcPr>
          <w:p w14:paraId="19563D3E">
            <w:pPr>
              <w:pStyle w:val="13"/>
              <w:spacing w:line="240" w:lineRule="auto"/>
              <w:ind w:firstLine="0"/>
              <w:jc w:val="center"/>
              <w:rPr>
                <w:rFonts w:hint="eastAsia" w:eastAsia="宋体"/>
                <w:vertAlign w:val="baseline"/>
                <w:lang w:val="en-US" w:eastAsia="zh-CN"/>
              </w:rPr>
            </w:pPr>
            <w:r>
              <w:rPr>
                <w:sz w:val="17"/>
                <w:szCs w:val="17"/>
              </w:rPr>
              <w:t>单位资金</w:t>
            </w:r>
          </w:p>
        </w:tc>
        <w:tc>
          <w:tcPr>
            <w:tcW w:w="919" w:type="dxa"/>
            <w:noWrap w:val="0"/>
            <w:vAlign w:val="center"/>
          </w:tcPr>
          <w:p w14:paraId="549A22D7">
            <w:pPr>
              <w:pStyle w:val="13"/>
              <w:spacing w:line="240" w:lineRule="auto"/>
              <w:ind w:firstLine="300"/>
              <w:jc w:val="center"/>
              <w:rPr>
                <w:rFonts w:hint="eastAsia" w:eastAsia="宋体"/>
                <w:vertAlign w:val="baseline"/>
                <w:lang w:val="en-US" w:eastAsia="zh-CN"/>
              </w:rPr>
            </w:pPr>
            <w:r>
              <w:rPr>
                <w:sz w:val="17"/>
                <w:szCs w:val="17"/>
              </w:rPr>
              <w:t>小计</w:t>
            </w:r>
          </w:p>
        </w:tc>
        <w:tc>
          <w:tcPr>
            <w:tcW w:w="1011" w:type="dxa"/>
            <w:noWrap w:val="0"/>
            <w:vAlign w:val="center"/>
          </w:tcPr>
          <w:p w14:paraId="3A4C8F2C">
            <w:pPr>
              <w:pStyle w:val="13"/>
              <w:spacing w:line="317" w:lineRule="exact"/>
              <w:ind w:firstLine="0"/>
              <w:jc w:val="center"/>
              <w:rPr>
                <w:rFonts w:hint="eastAsia" w:eastAsia="宋体"/>
                <w:vertAlign w:val="baseline"/>
                <w:lang w:val="en-US" w:eastAsia="zh-CN"/>
              </w:rPr>
            </w:pPr>
            <w:r>
              <w:rPr>
                <w:sz w:val="17"/>
                <w:szCs w:val="17"/>
              </w:rPr>
              <w:t>一般公共预算</w:t>
            </w:r>
          </w:p>
        </w:tc>
        <w:tc>
          <w:tcPr>
            <w:tcW w:w="859" w:type="dxa"/>
            <w:noWrap w:val="0"/>
            <w:vAlign w:val="center"/>
          </w:tcPr>
          <w:p w14:paraId="7AC347DB">
            <w:pPr>
              <w:pStyle w:val="13"/>
              <w:spacing w:line="317" w:lineRule="exact"/>
              <w:ind w:firstLine="0"/>
              <w:jc w:val="center"/>
              <w:rPr>
                <w:rFonts w:hint="eastAsia" w:eastAsia="宋体"/>
                <w:vertAlign w:val="baseline"/>
                <w:lang w:val="en-US" w:eastAsia="zh-CN"/>
              </w:rPr>
            </w:pPr>
            <w:r>
              <w:rPr>
                <w:sz w:val="17"/>
                <w:szCs w:val="17"/>
              </w:rPr>
              <w:t>政府性基金预算</w:t>
            </w:r>
          </w:p>
        </w:tc>
        <w:tc>
          <w:tcPr>
            <w:tcW w:w="1094" w:type="dxa"/>
            <w:gridSpan w:val="2"/>
            <w:noWrap w:val="0"/>
            <w:vAlign w:val="center"/>
          </w:tcPr>
          <w:p w14:paraId="03CFA53A">
            <w:pPr>
              <w:pStyle w:val="13"/>
              <w:spacing w:line="317" w:lineRule="exact"/>
              <w:ind w:firstLine="0"/>
              <w:jc w:val="center"/>
              <w:rPr>
                <w:rFonts w:hint="eastAsia" w:eastAsia="宋体"/>
                <w:vertAlign w:val="baseline"/>
                <w:lang w:val="en-US" w:eastAsia="zh-CN"/>
              </w:rPr>
            </w:pPr>
            <w:r>
              <w:rPr>
                <w:sz w:val="17"/>
                <w:szCs w:val="17"/>
              </w:rPr>
              <w:t>国有资本经营预算</w:t>
            </w:r>
          </w:p>
        </w:tc>
        <w:tc>
          <w:tcPr>
            <w:tcW w:w="937" w:type="dxa"/>
            <w:noWrap w:val="0"/>
          </w:tcPr>
          <w:p w14:paraId="7C7BA1B3">
            <w:pPr>
              <w:pStyle w:val="13"/>
              <w:spacing w:line="312" w:lineRule="exact"/>
              <w:ind w:firstLine="0"/>
              <w:jc w:val="center"/>
              <w:rPr>
                <w:sz w:val="17"/>
                <w:szCs w:val="17"/>
              </w:rPr>
            </w:pPr>
            <w:r>
              <w:rPr>
                <w:sz w:val="17"/>
                <w:szCs w:val="17"/>
              </w:rPr>
              <w:t>财政专户管理资金</w:t>
            </w:r>
          </w:p>
          <w:p w14:paraId="55B319B7">
            <w:pPr>
              <w:pStyle w:val="13"/>
              <w:spacing w:line="312" w:lineRule="exact"/>
              <w:ind w:right="280" w:firstLine="0"/>
              <w:jc w:val="center"/>
              <w:rPr>
                <w:rFonts w:hint="eastAsia" w:eastAsia="宋体"/>
                <w:vertAlign w:val="baseline"/>
                <w:lang w:val="en-US" w:eastAsia="zh-CN"/>
              </w:rPr>
            </w:pPr>
            <w:r>
              <w:rPr>
                <w:sz w:val="17"/>
                <w:szCs w:val="17"/>
              </w:rPr>
              <w:t>收入</w:t>
            </w:r>
          </w:p>
        </w:tc>
        <w:tc>
          <w:tcPr>
            <w:tcW w:w="989" w:type="dxa"/>
            <w:noWrap w:val="0"/>
            <w:vAlign w:val="center"/>
          </w:tcPr>
          <w:p w14:paraId="337678CB">
            <w:pPr>
              <w:pStyle w:val="13"/>
              <w:spacing w:line="240" w:lineRule="auto"/>
              <w:ind w:firstLine="140"/>
              <w:jc w:val="center"/>
              <w:rPr>
                <w:rFonts w:hint="eastAsia" w:eastAsia="宋体"/>
                <w:vertAlign w:val="baseline"/>
                <w:lang w:val="en-US" w:eastAsia="zh-CN"/>
              </w:rPr>
            </w:pPr>
            <w:r>
              <w:rPr>
                <w:sz w:val="17"/>
                <w:szCs w:val="17"/>
              </w:rPr>
              <w:t>单位资金</w:t>
            </w:r>
          </w:p>
        </w:tc>
      </w:tr>
      <w:tr w14:paraId="3544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tcPr>
          <w:p w14:paraId="0FEB7BB5">
            <w:pPr>
              <w:tabs>
                <w:tab w:val="left" w:pos="859"/>
              </w:tabs>
              <w:jc w:val="both"/>
              <w:rPr>
                <w:rFonts w:hint="eastAsia" w:eastAsia="宋体"/>
                <w:vertAlign w:val="baseline"/>
                <w:lang w:val="en-US" w:eastAsia="zh-CN"/>
              </w:rPr>
            </w:pPr>
          </w:p>
        </w:tc>
        <w:tc>
          <w:tcPr>
            <w:tcW w:w="1279" w:type="dxa"/>
            <w:noWrap w:val="0"/>
          </w:tcPr>
          <w:p w14:paraId="71A27F47">
            <w:pPr>
              <w:tabs>
                <w:tab w:val="left" w:pos="859"/>
              </w:tabs>
              <w:jc w:val="both"/>
              <w:rPr>
                <w:rFonts w:hint="eastAsia" w:eastAsia="宋体"/>
                <w:vertAlign w:val="baseline"/>
                <w:lang w:val="en-US" w:eastAsia="zh-CN"/>
              </w:rPr>
            </w:pPr>
          </w:p>
        </w:tc>
        <w:tc>
          <w:tcPr>
            <w:tcW w:w="990" w:type="dxa"/>
            <w:noWrap w:val="0"/>
            <w:vAlign w:val="center"/>
          </w:tcPr>
          <w:p w14:paraId="69772A34">
            <w:pPr>
              <w:pStyle w:val="13"/>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noWrap w:val="0"/>
            <w:vAlign w:val="center"/>
          </w:tcPr>
          <w:p w14:paraId="5040B018">
            <w:pPr>
              <w:pStyle w:val="13"/>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noWrap w:val="0"/>
            <w:vAlign w:val="center"/>
          </w:tcPr>
          <w:p w14:paraId="58CA6A35">
            <w:pPr>
              <w:pStyle w:val="13"/>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noWrap w:val="0"/>
            <w:vAlign w:val="center"/>
          </w:tcPr>
          <w:p w14:paraId="3D81A283">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noWrap w:val="0"/>
            <w:vAlign w:val="center"/>
          </w:tcPr>
          <w:p w14:paraId="2EB42054">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noWrap w:val="0"/>
            <w:vAlign w:val="center"/>
          </w:tcPr>
          <w:p w14:paraId="0BCA0753">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noWrap w:val="0"/>
            <w:vAlign w:val="center"/>
          </w:tcPr>
          <w:p w14:paraId="4772418F">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noWrap w:val="0"/>
            <w:vAlign w:val="center"/>
          </w:tcPr>
          <w:p w14:paraId="27D69D51">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noWrap w:val="0"/>
            <w:vAlign w:val="center"/>
          </w:tcPr>
          <w:p w14:paraId="34755FDD">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noWrap w:val="0"/>
            <w:vAlign w:val="center"/>
          </w:tcPr>
          <w:p w14:paraId="38CFB48B">
            <w:pPr>
              <w:pStyle w:val="13"/>
              <w:spacing w:line="240" w:lineRule="auto"/>
              <w:ind w:right="360" w:firstLine="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noWrap w:val="0"/>
            <w:vAlign w:val="center"/>
          </w:tcPr>
          <w:p w14:paraId="104A0BC0">
            <w:pPr>
              <w:pStyle w:val="13"/>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noWrap w:val="0"/>
            <w:vAlign w:val="center"/>
          </w:tcPr>
          <w:p w14:paraId="7AC9324A">
            <w:pPr>
              <w:pStyle w:val="13"/>
              <w:spacing w:line="240" w:lineRule="auto"/>
              <w:ind w:right="380" w:firstLine="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noWrap w:val="0"/>
            <w:vAlign w:val="center"/>
          </w:tcPr>
          <w:p w14:paraId="661857D9">
            <w:pPr>
              <w:pStyle w:val="13"/>
              <w:spacing w:line="240" w:lineRule="auto"/>
              <w:ind w:right="420" w:firstLine="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14:paraId="4E96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14:paraId="49F6F540">
            <w:pPr>
              <w:pStyle w:val="13"/>
              <w:spacing w:line="240" w:lineRule="auto"/>
              <w:ind w:firstLine="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701006</w:t>
            </w:r>
          </w:p>
        </w:tc>
        <w:tc>
          <w:tcPr>
            <w:tcW w:w="1279" w:type="dxa"/>
            <w:noWrap w:val="0"/>
          </w:tcPr>
          <w:p w14:paraId="0DD6909D">
            <w:pPr>
              <w:pStyle w:val="13"/>
              <w:spacing w:line="326" w:lineRule="exact"/>
              <w:ind w:firstLine="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环江毛南族自治县思恩镇扶贫站</w:t>
            </w:r>
          </w:p>
        </w:tc>
        <w:tc>
          <w:tcPr>
            <w:tcW w:w="990" w:type="dxa"/>
            <w:noWrap w:val="0"/>
            <w:vAlign w:val="center"/>
          </w:tcPr>
          <w:p w14:paraId="0538C835">
            <w:pPr>
              <w:pStyle w:val="13"/>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21.19</w:t>
            </w:r>
          </w:p>
        </w:tc>
        <w:tc>
          <w:tcPr>
            <w:tcW w:w="926" w:type="dxa"/>
            <w:noWrap w:val="0"/>
            <w:vAlign w:val="center"/>
          </w:tcPr>
          <w:p w14:paraId="0563E729">
            <w:pPr>
              <w:pStyle w:val="13"/>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21.19</w:t>
            </w:r>
          </w:p>
        </w:tc>
        <w:tc>
          <w:tcPr>
            <w:tcW w:w="909" w:type="dxa"/>
            <w:noWrap w:val="0"/>
            <w:vAlign w:val="center"/>
          </w:tcPr>
          <w:p w14:paraId="2A3003C6">
            <w:pPr>
              <w:pStyle w:val="13"/>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21.19</w:t>
            </w:r>
          </w:p>
        </w:tc>
        <w:tc>
          <w:tcPr>
            <w:tcW w:w="968" w:type="dxa"/>
            <w:noWrap w:val="0"/>
            <w:vAlign w:val="center"/>
          </w:tcPr>
          <w:p w14:paraId="030BAFEE">
            <w:pPr>
              <w:pStyle w:val="13"/>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noWrap w:val="0"/>
            <w:vAlign w:val="center"/>
          </w:tcPr>
          <w:p w14:paraId="20439C30">
            <w:pPr>
              <w:pStyle w:val="13"/>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noWrap w:val="0"/>
            <w:vAlign w:val="center"/>
          </w:tcPr>
          <w:p w14:paraId="796D4E09">
            <w:pPr>
              <w:pStyle w:val="13"/>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noWrap w:val="0"/>
            <w:vAlign w:val="center"/>
          </w:tcPr>
          <w:p w14:paraId="0F2A5192">
            <w:pPr>
              <w:pStyle w:val="13"/>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noWrap w:val="0"/>
            <w:vAlign w:val="center"/>
          </w:tcPr>
          <w:p w14:paraId="61D121B3">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noWrap w:val="0"/>
            <w:vAlign w:val="center"/>
          </w:tcPr>
          <w:p w14:paraId="7560D9D0">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noWrap w:val="0"/>
            <w:vAlign w:val="center"/>
          </w:tcPr>
          <w:p w14:paraId="5CED72FB">
            <w:pP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noWrap w:val="0"/>
            <w:vAlign w:val="center"/>
          </w:tcPr>
          <w:p w14:paraId="48C8149F">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noWrap w:val="0"/>
            <w:vAlign w:val="center"/>
          </w:tcPr>
          <w:p w14:paraId="14625FB4">
            <w:pP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noWrap w:val="0"/>
            <w:vAlign w:val="center"/>
          </w:tcPr>
          <w:p w14:paraId="36FFF298">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14:paraId="509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noWrap w:val="0"/>
          </w:tcPr>
          <w:p w14:paraId="0F099F40">
            <w:pPr>
              <w:pStyle w:val="14"/>
              <w:jc w:val="left"/>
              <w:rPr>
                <w:rFonts w:hint="eastAsia" w:eastAsia="宋体"/>
                <w:vertAlign w:val="baseline"/>
                <w:lang w:val="en-US" w:eastAsia="zh-CN"/>
              </w:rPr>
            </w:pPr>
            <w:r>
              <w:t>注：本报表金额单位转换时可能存在四舍五入尾数误差。</w:t>
            </w:r>
          </w:p>
        </w:tc>
      </w:tr>
    </w:tbl>
    <w:p w14:paraId="5E04E458">
      <w:pPr>
        <w:tabs>
          <w:tab w:val="left" w:pos="859"/>
        </w:tabs>
        <w:jc w:val="both"/>
        <w:rPr>
          <w:rFonts w:hint="eastAsia" w:eastAsia="宋体"/>
          <w:lang w:val="en-US" w:eastAsia="zh-CN"/>
        </w:rPr>
      </w:pPr>
    </w:p>
    <w:p w14:paraId="6796D968">
      <w:pPr>
        <w:tabs>
          <w:tab w:val="left" w:pos="859"/>
        </w:tabs>
        <w:jc w:val="center"/>
        <w:rPr>
          <w:rFonts w:hint="eastAsia" w:eastAsia="宋体"/>
          <w:lang w:val="en-US" w:eastAsia="zh-CN"/>
        </w:rPr>
      </w:pPr>
    </w:p>
    <w:p w14:paraId="041387C0">
      <w:pPr>
        <w:tabs>
          <w:tab w:val="left" w:pos="859"/>
        </w:tabs>
        <w:jc w:val="both"/>
        <w:rPr>
          <w:rFonts w:hint="eastAsia" w:eastAsia="宋体"/>
          <w:lang w:val="en-US" w:eastAsia="zh-CN"/>
        </w:rPr>
      </w:pPr>
    </w:p>
    <w:p w14:paraId="3F92EE90">
      <w:pPr>
        <w:spacing w:line="1" w:lineRule="exact"/>
        <w:jc w:val="left"/>
        <w:rPr>
          <w:lang w:eastAsia="zh-CN"/>
        </w:rPr>
        <w:sectPr>
          <w:headerReference r:id="rId8" w:type="default"/>
          <w:footerReference r:id="rId9" w:type="default"/>
          <w:pgSz w:w="16840" w:h="11900"/>
          <w:pgMar w:top="2709" w:right="764" w:bottom="2709" w:left="735" w:header="2281" w:footer="1474" w:gutter="0"/>
          <w:cols w:space="720" w:num="1"/>
        </w:sectPr>
      </w:pPr>
    </w:p>
    <w:p w14:paraId="437302D2">
      <w:pPr>
        <w:pStyle w:val="1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14:paraId="5304BBED">
        <w:tblPrEx>
          <w:tblCellMar>
            <w:top w:w="0" w:type="dxa"/>
            <w:left w:w="10" w:type="dxa"/>
            <w:bottom w:w="0" w:type="dxa"/>
            <w:right w:w="10" w:type="dxa"/>
          </w:tblCellMar>
        </w:tblPrEx>
        <w:trPr>
          <w:trHeight w:val="346" w:hRule="exact"/>
        </w:trPr>
        <w:tc>
          <w:tcPr>
            <w:tcW w:w="12968" w:type="dxa"/>
            <w:gridSpan w:val="6"/>
            <w:shd w:val="clear" w:color="auto" w:fill="FFFFFF"/>
            <w:noWrap w:val="0"/>
          </w:tcPr>
          <w:p w14:paraId="4E77731A">
            <w:pPr>
              <w:pStyle w:val="13"/>
              <w:spacing w:line="240" w:lineRule="auto"/>
              <w:ind w:firstLine="0"/>
              <w:jc w:val="left"/>
              <w:rPr>
                <w:sz w:val="17"/>
                <w:szCs w:val="17"/>
              </w:rPr>
            </w:pPr>
            <w:r>
              <w:rPr>
                <w:sz w:val="17"/>
                <w:szCs w:val="17"/>
              </w:rPr>
              <w:t>单位名称：</w:t>
            </w:r>
            <w:r>
              <w:rPr>
                <w:rFonts w:hint="eastAsia"/>
                <w:sz w:val="17"/>
                <w:szCs w:val="17"/>
                <w:lang w:eastAsia="zh-CN"/>
              </w:rPr>
              <w:t>环江毛南族自治县思恩镇扶贫站</w:t>
            </w:r>
          </w:p>
        </w:tc>
        <w:tc>
          <w:tcPr>
            <w:tcW w:w="2371" w:type="dxa"/>
            <w:shd w:val="clear" w:color="auto" w:fill="FFFFFF"/>
            <w:noWrap w:val="0"/>
          </w:tcPr>
          <w:p w14:paraId="153B3148">
            <w:pPr>
              <w:pStyle w:val="13"/>
              <w:spacing w:line="240" w:lineRule="auto"/>
              <w:ind w:firstLine="1190"/>
              <w:jc w:val="left"/>
              <w:rPr>
                <w:sz w:val="17"/>
                <w:szCs w:val="17"/>
              </w:rPr>
            </w:pPr>
            <w:r>
              <w:rPr>
                <w:sz w:val="17"/>
                <w:szCs w:val="17"/>
              </w:rPr>
              <w:t>单位：万元</w:t>
            </w:r>
          </w:p>
        </w:tc>
      </w:tr>
      <w:tr w14:paraId="6B7BB75F">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noWrap w:val="0"/>
            <w:vAlign w:val="center"/>
          </w:tcPr>
          <w:p w14:paraId="0E064137">
            <w:pPr>
              <w:pStyle w:val="13"/>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noWrap w:val="0"/>
            <w:vAlign w:val="center"/>
          </w:tcPr>
          <w:p w14:paraId="57F0E8F8">
            <w:pPr>
              <w:pStyle w:val="13"/>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noWrap w:val="0"/>
            <w:vAlign w:val="center"/>
          </w:tcPr>
          <w:p w14:paraId="2E9DA834">
            <w:pPr>
              <w:pStyle w:val="13"/>
              <w:spacing w:after="120" w:line="240" w:lineRule="auto"/>
              <w:ind w:firstLine="0"/>
              <w:jc w:val="left"/>
              <w:rPr>
                <w:sz w:val="17"/>
                <w:szCs w:val="17"/>
              </w:rPr>
            </w:pPr>
            <w:r>
              <w:rPr>
                <w:sz w:val="17"/>
                <w:szCs w:val="17"/>
              </w:rPr>
              <w:t>部门（单位）名称</w:t>
            </w:r>
          </w:p>
          <w:p w14:paraId="5740CC63">
            <w:pPr>
              <w:pStyle w:val="13"/>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noWrap w:val="0"/>
            <w:vAlign w:val="center"/>
          </w:tcPr>
          <w:p w14:paraId="6A2B63CF">
            <w:pPr>
              <w:pStyle w:val="13"/>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noWrap w:val="0"/>
            <w:vAlign w:val="center"/>
          </w:tcPr>
          <w:p w14:paraId="58967AB7">
            <w:pPr>
              <w:pStyle w:val="13"/>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noWrap w:val="0"/>
            <w:vAlign w:val="center"/>
          </w:tcPr>
          <w:p w14:paraId="49CA90C9">
            <w:pPr>
              <w:pStyle w:val="13"/>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32CF9">
            <w:pPr>
              <w:pStyle w:val="13"/>
              <w:spacing w:line="240" w:lineRule="auto"/>
              <w:ind w:firstLine="0"/>
              <w:jc w:val="left"/>
              <w:rPr>
                <w:sz w:val="17"/>
                <w:szCs w:val="17"/>
              </w:rPr>
            </w:pPr>
            <w:r>
              <w:rPr>
                <w:sz w:val="17"/>
                <w:szCs w:val="17"/>
              </w:rPr>
              <w:t>结转下年支出</w:t>
            </w:r>
          </w:p>
        </w:tc>
      </w:tr>
      <w:tr w14:paraId="5855FED9">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75AFE152">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152C05CA">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6C3411">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5C90A6">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21.19</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D86A66">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21.19</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DE7517">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4DA9E">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247D738B">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4A827E5D">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049A5D23">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701006</w:t>
            </w: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9EE3AF">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0DC05">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21.19</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9FD131">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21.19</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7A1E69">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95D1BF">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6DC66D03">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089905E2">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7B57FEF5">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7FA828">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62C41D">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0.19</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F898AD">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0.19</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E7155">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5500B8">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60C319A1">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3839BE2E">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171B223B">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F2FEFA">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DF884">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2.50</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3077CF">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2.50</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F1E13">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F3465">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7328E311">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6BD972D7">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70A68F1E">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09539">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49CA54">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16.28</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C4D3B">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16.28</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E2195C">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EF37B4">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57F5FDEF">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1A6C43D6">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28D7A73A">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DDBBA5">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FD867">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2.22</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CB7A2">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2.22</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23C24E">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3D8C95">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14:paraId="381DB96F">
      <w:pPr>
        <w:pStyle w:val="14"/>
        <w:ind w:left="672"/>
        <w:jc w:val="left"/>
      </w:pPr>
      <w:r>
        <w:t>注：本报表金额单位转换时可能存在四舍五入尾数误差。</w:t>
      </w:r>
      <w:r>
        <w:rPr/>
        <w:br w:type="page" w:clear="all"/>
      </w:r>
    </w:p>
    <w:p w14:paraId="69F7FD04">
      <w:pPr>
        <w:pStyle w:val="12"/>
        <w:keepNext/>
        <w:keepLines/>
        <w:spacing w:after="240"/>
        <w:jc w:val="center"/>
      </w:pPr>
      <w:bookmarkStart w:id="22" w:name="bookmark44"/>
      <w:bookmarkStart w:id="23" w:name="bookmark45"/>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14:paraId="107CAEB6">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noWrap w:val="0"/>
          </w:tcPr>
          <w:p w14:paraId="5DE2E8F3">
            <w:pPr>
              <w:pStyle w:val="13"/>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环江毛南族自治县思恩镇扶贫站</w:t>
            </w:r>
          </w:p>
        </w:tc>
        <w:tc>
          <w:tcPr>
            <w:tcW w:w="3845" w:type="dxa"/>
            <w:shd w:val="clear" w:color="auto" w:fill="FFFFFF"/>
            <w:noWrap w:val="0"/>
          </w:tcPr>
          <w:p w14:paraId="39FCFC7A">
            <w:pPr>
              <w:pStyle w:val="13"/>
              <w:spacing w:line="240" w:lineRule="auto"/>
              <w:jc w:val="left"/>
              <w:rPr>
                <w:sz w:val="17"/>
                <w:szCs w:val="17"/>
              </w:rPr>
            </w:pPr>
            <w:r>
              <w:rPr>
                <w:sz w:val="17"/>
                <w:szCs w:val="17"/>
              </w:rPr>
              <w:t>单位：万元</w:t>
            </w:r>
          </w:p>
        </w:tc>
      </w:tr>
      <w:tr w14:paraId="3F914176">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noWrap w:val="0"/>
          </w:tcPr>
          <w:p w14:paraId="7000C097">
            <w:pPr>
              <w:jc w:val="left"/>
              <w:rPr>
                <w:sz w:val="10"/>
                <w:szCs w:val="10"/>
              </w:rPr>
            </w:pPr>
          </w:p>
        </w:tc>
        <w:tc>
          <w:tcPr>
            <w:tcW w:w="955" w:type="dxa"/>
            <w:tcBorders>
              <w:top w:val="single" w:color="auto" w:sz="4" w:space="0"/>
            </w:tcBorders>
            <w:shd w:val="clear" w:color="auto" w:fill="FFFFFF"/>
            <w:noWrap w:val="0"/>
            <w:vAlign w:val="center"/>
          </w:tcPr>
          <w:p w14:paraId="75E90ED3">
            <w:pPr>
              <w:pStyle w:val="13"/>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noWrap w:val="0"/>
            <w:vAlign w:val="center"/>
          </w:tcPr>
          <w:p w14:paraId="01C9053F">
            <w:pPr>
              <w:pStyle w:val="13"/>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noWrap w:val="0"/>
            <w:vAlign w:val="center"/>
          </w:tcPr>
          <w:p w14:paraId="283FE7CC">
            <w:pPr>
              <w:pStyle w:val="13"/>
              <w:spacing w:line="240" w:lineRule="auto"/>
              <w:ind w:right="340" w:firstLine="272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noWrap w:val="0"/>
            <w:vAlign w:val="center"/>
          </w:tcPr>
          <w:p w14:paraId="55F47D75">
            <w:pPr>
              <w:pStyle w:val="13"/>
              <w:spacing w:line="240" w:lineRule="auto"/>
              <w:ind w:firstLine="935"/>
              <w:jc w:val="left"/>
              <w:rPr>
                <w:sz w:val="17"/>
                <w:szCs w:val="17"/>
              </w:rPr>
            </w:pPr>
            <w:r>
              <w:rPr>
                <w:sz w:val="17"/>
                <w:szCs w:val="17"/>
              </w:rPr>
              <w:t>出</w:t>
            </w:r>
          </w:p>
        </w:tc>
      </w:tr>
      <w:tr w14:paraId="79FC7D76">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noWrap w:val="0"/>
            <w:vAlign w:val="center"/>
          </w:tcPr>
          <w:p w14:paraId="0C414673">
            <w:pPr>
              <w:pStyle w:val="13"/>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noWrap w:val="0"/>
            <w:vAlign w:val="center"/>
          </w:tcPr>
          <w:p w14:paraId="1EF9AF7E">
            <w:pPr>
              <w:pStyle w:val="13"/>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noWrap w:val="0"/>
            <w:vAlign w:val="center"/>
          </w:tcPr>
          <w:p w14:paraId="2DA1AB88">
            <w:pPr>
              <w:pStyle w:val="13"/>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noWrap w:val="0"/>
            <w:vAlign w:val="center"/>
          </w:tcPr>
          <w:p w14:paraId="0C4B98E8">
            <w:pPr>
              <w:pStyle w:val="13"/>
              <w:spacing w:line="240" w:lineRule="auto"/>
              <w:ind w:firstLine="0"/>
              <w:jc w:val="center"/>
              <w:rPr>
                <w:sz w:val="17"/>
                <w:szCs w:val="17"/>
              </w:rPr>
            </w:pPr>
            <w:r>
              <w:rPr>
                <w:sz w:val="17"/>
                <w:szCs w:val="17"/>
              </w:rPr>
              <w:t>预算数</w:t>
            </w:r>
          </w:p>
        </w:tc>
      </w:tr>
      <w:tr w14:paraId="2F83C468">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963344D">
            <w:pPr>
              <w:pStyle w:val="13"/>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noWrap w:val="0"/>
            <w:vAlign w:val="center"/>
          </w:tcPr>
          <w:p w14:paraId="0132C7A5">
            <w:pPr>
              <w:pStyle w:val="13"/>
              <w:spacing w:line="240" w:lineRule="auto"/>
              <w:ind w:firstLine="200"/>
              <w:jc w:val="right"/>
              <w:rPr>
                <w:rFonts w:hint="default"/>
                <w:sz w:val="17"/>
                <w:szCs w:val="17"/>
                <w:lang w:val="en-US" w:eastAsia="zh-CN"/>
              </w:rPr>
            </w:pPr>
            <w:r>
              <w:rPr>
                <w:rFonts w:hint="eastAsia"/>
                <w:sz w:val="17"/>
                <w:szCs w:val="17"/>
                <w:lang w:val="en-US" w:eastAsia="zh-CN"/>
              </w:rPr>
              <w:t>21.19</w:t>
            </w:r>
          </w:p>
        </w:tc>
        <w:tc>
          <w:tcPr>
            <w:tcW w:w="3826" w:type="dxa"/>
            <w:tcBorders>
              <w:top w:val="single" w:color="auto" w:sz="4" w:space="0"/>
              <w:left w:val="single" w:color="auto" w:sz="4" w:space="0"/>
              <w:bottom w:val="single" w:color="auto" w:sz="4" w:space="0"/>
            </w:tcBorders>
            <w:shd w:val="clear" w:color="auto" w:fill="FFFFFF"/>
            <w:noWrap w:val="0"/>
            <w:vAlign w:val="center"/>
          </w:tcPr>
          <w:p w14:paraId="4743596E">
            <w:pPr>
              <w:pStyle w:val="13"/>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A80299">
            <w:pPr>
              <w:pStyle w:val="13"/>
              <w:spacing w:line="240" w:lineRule="auto"/>
              <w:ind w:firstLine="200"/>
              <w:jc w:val="right"/>
              <w:rPr>
                <w:rFonts w:hint="default"/>
                <w:sz w:val="17"/>
                <w:szCs w:val="17"/>
                <w:lang w:val="en-US" w:eastAsia="zh-CN"/>
              </w:rPr>
            </w:pPr>
            <w:r>
              <w:rPr>
                <w:rFonts w:hint="eastAsia"/>
                <w:sz w:val="17"/>
                <w:szCs w:val="17"/>
                <w:lang w:val="en-US" w:eastAsia="zh-CN"/>
              </w:rPr>
              <w:t>0.19</w:t>
            </w:r>
          </w:p>
        </w:tc>
      </w:tr>
      <w:tr w14:paraId="1756BCC9">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5485F35">
            <w:pPr>
              <w:pStyle w:val="13"/>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noWrap w:val="0"/>
            <w:vAlign w:val="center"/>
          </w:tcPr>
          <w:p w14:paraId="2634968A">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018769D2">
            <w:pPr>
              <w:pStyle w:val="13"/>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3C0DFC">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0ABE17E6">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0D08C042">
            <w:pPr>
              <w:pStyle w:val="13"/>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noWrap w:val="0"/>
            <w:vAlign w:val="center"/>
          </w:tcPr>
          <w:p w14:paraId="007F217C">
            <w:pPr>
              <w:pStyle w:val="13"/>
              <w:spacing w:line="240" w:lineRule="auto"/>
              <w:ind w:firstLine="200"/>
              <w:jc w:val="right"/>
              <w:rPr>
                <w:rFonts w:hint="default"/>
                <w:sz w:val="17"/>
                <w:szCs w:val="17"/>
                <w:lang w:val="en-US" w:eastAsia="zh-CN"/>
              </w:rPr>
            </w:pPr>
            <w:r>
              <w:rPr>
                <w:rFonts w:hint="eastAsia"/>
                <w:sz w:val="17"/>
                <w:szCs w:val="17"/>
                <w:lang w:val="en-US" w:eastAsia="zh-CN"/>
              </w:rPr>
              <w:t>21.19</w:t>
            </w:r>
          </w:p>
        </w:tc>
        <w:tc>
          <w:tcPr>
            <w:tcW w:w="3826" w:type="dxa"/>
            <w:tcBorders>
              <w:top w:val="single" w:color="auto" w:sz="4" w:space="0"/>
              <w:left w:val="single" w:color="auto" w:sz="4" w:space="0"/>
              <w:bottom w:val="single" w:color="auto" w:sz="4" w:space="0"/>
            </w:tcBorders>
            <w:shd w:val="clear" w:color="auto" w:fill="FFFFFF"/>
            <w:noWrap w:val="0"/>
            <w:vAlign w:val="center"/>
          </w:tcPr>
          <w:p w14:paraId="5E27285F">
            <w:pPr>
              <w:pStyle w:val="13"/>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23D6EE">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0C74E558">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313F4779">
            <w:pPr>
              <w:pStyle w:val="13"/>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noWrap w:val="0"/>
            <w:vAlign w:val="center"/>
          </w:tcPr>
          <w:p w14:paraId="78BAB874">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6C2C43F3">
            <w:pPr>
              <w:pStyle w:val="13"/>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D8D2B">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0FB874C2">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76204857">
            <w:pPr>
              <w:pStyle w:val="13"/>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noWrap w:val="0"/>
            <w:vAlign w:val="center"/>
          </w:tcPr>
          <w:p w14:paraId="69CAD937">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496CE750">
            <w:pPr>
              <w:pStyle w:val="13"/>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A44FD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0C14ADB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2265359">
            <w:pPr>
              <w:pStyle w:val="13"/>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noWrap w:val="0"/>
            <w:vAlign w:val="center"/>
          </w:tcPr>
          <w:p w14:paraId="46884B85">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2AC3A553">
            <w:pPr>
              <w:pStyle w:val="13"/>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14E84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28F9EE2B">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2CDF9DD">
            <w:pPr>
              <w:pStyle w:val="13"/>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noWrap w:val="0"/>
            <w:vAlign w:val="center"/>
          </w:tcPr>
          <w:p w14:paraId="166DE7D5">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62A4243D">
            <w:pPr>
              <w:pStyle w:val="13"/>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F1EFE2">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6342BA7F">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46CCFFF">
            <w:pPr>
              <w:pStyle w:val="13"/>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noWrap w:val="0"/>
            <w:vAlign w:val="center"/>
          </w:tcPr>
          <w:p w14:paraId="4665234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242A43A2">
            <w:pPr>
              <w:pStyle w:val="13"/>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6D95B">
            <w:pPr>
              <w:pStyle w:val="13"/>
              <w:spacing w:line="240" w:lineRule="auto"/>
              <w:ind w:firstLine="200"/>
              <w:jc w:val="right"/>
              <w:rPr>
                <w:rFonts w:hint="default"/>
                <w:sz w:val="17"/>
                <w:szCs w:val="17"/>
                <w:lang w:val="en-US" w:eastAsia="zh-CN"/>
              </w:rPr>
            </w:pPr>
            <w:r>
              <w:rPr>
                <w:rFonts w:hint="eastAsia"/>
                <w:sz w:val="17"/>
                <w:szCs w:val="17"/>
                <w:lang w:val="en-US" w:eastAsia="zh-CN"/>
              </w:rPr>
              <w:t>2.50</w:t>
            </w:r>
          </w:p>
        </w:tc>
      </w:tr>
      <w:tr w14:paraId="5AC3418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DDF972C">
            <w:pPr>
              <w:pStyle w:val="13"/>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noWrap w:val="0"/>
            <w:vAlign w:val="center"/>
          </w:tcPr>
          <w:p w14:paraId="5C6D83C6">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556B417D">
            <w:pPr>
              <w:pStyle w:val="13"/>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E38EBF">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6606B7B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0CA71178">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718A888C">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635C22AE">
            <w:pPr>
              <w:pStyle w:val="13"/>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DA9D3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6CEA5AEF">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BB60CE0">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08B28CB2">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1208171F">
            <w:pPr>
              <w:pStyle w:val="13"/>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B0397">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7AE7C549">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8FC0903">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11683F5E">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18BB44CD">
            <w:pPr>
              <w:pStyle w:val="13"/>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8AB759">
            <w:pPr>
              <w:pStyle w:val="13"/>
              <w:spacing w:line="240" w:lineRule="auto"/>
              <w:ind w:firstLine="200"/>
              <w:jc w:val="right"/>
              <w:rPr>
                <w:rFonts w:hint="default"/>
                <w:sz w:val="17"/>
                <w:szCs w:val="17"/>
                <w:lang w:val="en-US" w:eastAsia="zh-CN"/>
              </w:rPr>
            </w:pPr>
            <w:r>
              <w:rPr>
                <w:rFonts w:hint="eastAsia"/>
                <w:sz w:val="17"/>
                <w:szCs w:val="17"/>
                <w:lang w:val="en-US" w:eastAsia="zh-CN"/>
              </w:rPr>
              <w:t>16.28</w:t>
            </w:r>
          </w:p>
        </w:tc>
      </w:tr>
      <w:tr w14:paraId="6288E16C">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7508ADC">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623C1803">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1AF649A3">
            <w:pPr>
              <w:pStyle w:val="13"/>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3D646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4115DC7D">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31565D2B">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1182F008">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331B419C">
            <w:pPr>
              <w:pStyle w:val="13"/>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7B2AC2">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2E559838">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0171733">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3A059FD9">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433BC541">
            <w:pPr>
              <w:pStyle w:val="13"/>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EF942">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5A5008CC">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0ACF8EA0">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6DDA2814">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7C349EEC">
            <w:pPr>
              <w:pStyle w:val="13"/>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E14418">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4A078D88">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524C1A4">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14E64C50">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292BA487">
            <w:pPr>
              <w:pStyle w:val="13"/>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0813A8">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105E2DFE">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F63AC45">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5A0DAF36">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3847308D">
            <w:pPr>
              <w:pStyle w:val="13"/>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1DD5CA">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614D9386">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5997067">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02C24E35">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76B4B4DD">
            <w:pPr>
              <w:pStyle w:val="13"/>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AE3E8">
            <w:pPr>
              <w:pStyle w:val="13"/>
              <w:spacing w:line="240" w:lineRule="auto"/>
              <w:ind w:firstLine="200"/>
              <w:jc w:val="right"/>
              <w:rPr>
                <w:rFonts w:hint="default"/>
                <w:sz w:val="17"/>
                <w:szCs w:val="17"/>
                <w:lang w:val="en-US" w:eastAsia="zh-CN"/>
              </w:rPr>
            </w:pPr>
            <w:r>
              <w:rPr>
                <w:rFonts w:hint="eastAsia"/>
                <w:sz w:val="17"/>
                <w:szCs w:val="17"/>
                <w:lang w:val="en-US" w:eastAsia="zh-CN"/>
              </w:rPr>
              <w:t>2.22</w:t>
            </w:r>
          </w:p>
        </w:tc>
      </w:tr>
      <w:tr w14:paraId="7C0C566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16DF9CEC">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5C439E72">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64FAE292">
            <w:pPr>
              <w:pStyle w:val="13"/>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EA101">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70141ED9">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194A0E3C">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5AA41468">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23C07BD2">
            <w:pPr>
              <w:pStyle w:val="13"/>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787A88">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05DF4C89">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D4F8A28">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2F5BA6D8">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0486E168">
            <w:pPr>
              <w:pStyle w:val="13"/>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140D22">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2799EACE">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33B15EFB">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301FD168">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00248025">
            <w:pPr>
              <w:pStyle w:val="13"/>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3568C">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5AEC4B9C">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DF8A9F3">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67EF38D8">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6F2FBAEF">
            <w:pPr>
              <w:pStyle w:val="13"/>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BA1A8">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62CDA41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7369FAD">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4C98C2FF">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5261D14E">
            <w:pPr>
              <w:pStyle w:val="13"/>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C9478D">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57E7861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C7BB240">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511A1D03">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306D5F3B">
            <w:pPr>
              <w:pStyle w:val="13"/>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60F44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5EFD37E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08CE4A63">
            <w:pPr>
              <w:pStyle w:val="13"/>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noWrap w:val="0"/>
            <w:vAlign w:val="center"/>
          </w:tcPr>
          <w:p w14:paraId="2336F611">
            <w:pPr>
              <w:pStyle w:val="13"/>
              <w:spacing w:line="240" w:lineRule="auto"/>
              <w:ind w:firstLine="200"/>
              <w:jc w:val="right"/>
              <w:rPr>
                <w:rFonts w:hint="default"/>
                <w:sz w:val="17"/>
                <w:szCs w:val="17"/>
                <w:lang w:val="en-US" w:eastAsia="zh-CN"/>
              </w:rPr>
            </w:pPr>
            <w:r>
              <w:rPr>
                <w:rFonts w:hint="eastAsia"/>
                <w:sz w:val="17"/>
                <w:szCs w:val="17"/>
                <w:lang w:val="en-US" w:eastAsia="zh-CN"/>
              </w:rPr>
              <w:t>21.19</w:t>
            </w:r>
          </w:p>
        </w:tc>
        <w:tc>
          <w:tcPr>
            <w:tcW w:w="3826" w:type="dxa"/>
            <w:tcBorders>
              <w:top w:val="single" w:color="auto" w:sz="4" w:space="0"/>
              <w:left w:val="single" w:color="auto" w:sz="4" w:space="0"/>
              <w:bottom w:val="single" w:color="auto" w:sz="4" w:space="0"/>
            </w:tcBorders>
            <w:shd w:val="clear" w:color="auto" w:fill="FFFFFF"/>
            <w:noWrap w:val="0"/>
            <w:vAlign w:val="center"/>
          </w:tcPr>
          <w:p w14:paraId="1D6B8115">
            <w:pPr>
              <w:pStyle w:val="13"/>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78C9C6">
            <w:pPr>
              <w:pStyle w:val="13"/>
              <w:spacing w:line="240" w:lineRule="auto"/>
              <w:ind w:firstLine="200"/>
              <w:jc w:val="right"/>
              <w:rPr>
                <w:rFonts w:hint="default"/>
                <w:sz w:val="17"/>
                <w:szCs w:val="17"/>
                <w:lang w:val="en-US" w:eastAsia="zh-CN"/>
              </w:rPr>
            </w:pPr>
            <w:r>
              <w:rPr>
                <w:rFonts w:hint="eastAsia"/>
                <w:sz w:val="17"/>
                <w:szCs w:val="17"/>
                <w:lang w:val="en-US" w:eastAsia="zh-CN"/>
              </w:rPr>
              <w:t>21.19</w:t>
            </w:r>
          </w:p>
        </w:tc>
      </w:tr>
      <w:tr w14:paraId="562A115E">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9821DF4">
            <w:pPr>
              <w:pStyle w:val="13"/>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noWrap w:val="0"/>
            <w:vAlign w:val="center"/>
          </w:tcPr>
          <w:p w14:paraId="55D8C680">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7B1E749D">
            <w:pPr>
              <w:pStyle w:val="13"/>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E5B53">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14:paraId="4F3095D2">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70D37259">
            <w:pPr>
              <w:pStyle w:val="13"/>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noWrap w:val="0"/>
            <w:vAlign w:val="center"/>
          </w:tcPr>
          <w:p w14:paraId="49900788">
            <w:pPr>
              <w:pStyle w:val="13"/>
              <w:spacing w:line="240" w:lineRule="auto"/>
              <w:ind w:firstLine="200"/>
              <w:jc w:val="right"/>
              <w:rPr>
                <w:rFonts w:hint="default"/>
                <w:sz w:val="17"/>
                <w:szCs w:val="17"/>
                <w:lang w:val="en-US" w:eastAsia="zh-CN"/>
              </w:rPr>
            </w:pPr>
            <w:r>
              <w:rPr>
                <w:rFonts w:hint="eastAsia"/>
                <w:sz w:val="17"/>
                <w:szCs w:val="17"/>
                <w:lang w:val="en-US" w:eastAsia="zh-CN"/>
              </w:rPr>
              <w:t>21.19</w:t>
            </w:r>
          </w:p>
        </w:tc>
        <w:tc>
          <w:tcPr>
            <w:tcW w:w="3826" w:type="dxa"/>
            <w:tcBorders>
              <w:top w:val="single" w:color="auto" w:sz="4" w:space="0"/>
              <w:left w:val="single" w:color="auto" w:sz="4" w:space="0"/>
              <w:bottom w:val="single" w:color="auto" w:sz="4" w:space="0"/>
            </w:tcBorders>
            <w:shd w:val="clear" w:color="auto" w:fill="FFFFFF"/>
            <w:noWrap w:val="0"/>
            <w:vAlign w:val="center"/>
          </w:tcPr>
          <w:p w14:paraId="1B47DF15">
            <w:pPr>
              <w:pStyle w:val="13"/>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075D5">
            <w:pPr>
              <w:pStyle w:val="13"/>
              <w:spacing w:line="240" w:lineRule="auto"/>
              <w:ind w:firstLine="200"/>
              <w:jc w:val="right"/>
              <w:rPr>
                <w:rFonts w:hint="default"/>
                <w:sz w:val="17"/>
                <w:szCs w:val="17"/>
                <w:lang w:val="en-US" w:eastAsia="zh-CN"/>
              </w:rPr>
            </w:pPr>
            <w:r>
              <w:rPr>
                <w:rFonts w:hint="eastAsia"/>
                <w:sz w:val="17"/>
                <w:szCs w:val="17"/>
                <w:lang w:val="en-US" w:eastAsia="zh-CN"/>
              </w:rPr>
              <w:t>21.19</w:t>
            </w:r>
          </w:p>
        </w:tc>
      </w:tr>
      <w:tr w14:paraId="58193AB8">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noWrap w:val="0"/>
          </w:tcPr>
          <w:p w14:paraId="59212005">
            <w:pPr>
              <w:jc w:val="left"/>
              <w:rPr>
                <w:sz w:val="10"/>
                <w:szCs w:val="10"/>
                <w:lang w:eastAsia="zh-CN"/>
              </w:rPr>
            </w:pPr>
            <w:r>
              <w:rPr>
                <w:sz w:val="17"/>
                <w:szCs w:val="17"/>
              </w:rPr>
              <w:t>注：表中功能分类科目，根据各部门实际预算编制情况编列。</w:t>
            </w:r>
          </w:p>
        </w:tc>
      </w:tr>
      <w:tr w14:paraId="590F6F92">
        <w:tblPrEx>
          <w:tblCellMar>
            <w:top w:w="0" w:type="dxa"/>
            <w:left w:w="10" w:type="dxa"/>
            <w:bottom w:w="0" w:type="dxa"/>
            <w:right w:w="10" w:type="dxa"/>
          </w:tblCellMar>
        </w:tblPrEx>
        <w:trPr>
          <w:trHeight w:val="274" w:hRule="exact"/>
        </w:trPr>
        <w:tc>
          <w:tcPr>
            <w:tcW w:w="15342" w:type="dxa"/>
            <w:gridSpan w:val="6"/>
            <w:shd w:val="clear" w:color="auto" w:fill="FFFFFF"/>
            <w:noWrap w:val="0"/>
            <w:vAlign w:val="bottom"/>
          </w:tcPr>
          <w:p w14:paraId="5DA73763">
            <w:pPr>
              <w:jc w:val="left"/>
              <w:rPr>
                <w:sz w:val="10"/>
                <w:szCs w:val="10"/>
                <w:lang w:eastAsia="zh-CN"/>
              </w:rPr>
            </w:pPr>
            <w:r>
              <w:rPr>
                <w:sz w:val="17"/>
                <w:szCs w:val="17"/>
              </w:rPr>
              <w:t>报表金额单位转换时可能存在四舍五入尾数误差。</w:t>
            </w:r>
          </w:p>
        </w:tc>
      </w:tr>
    </w:tbl>
    <w:p w14:paraId="57795404">
      <w:pPr>
        <w:jc w:val="left"/>
        <w:rPr>
          <w:lang w:eastAsia="zh-CN"/>
        </w:rPr>
      </w:pPr>
      <w:r>
        <w:rPr/>
        <w:br w:type="page" w:clear="all"/>
      </w:r>
    </w:p>
    <w:p w14:paraId="1E1BC860">
      <w:pPr>
        <w:jc w:val="center"/>
        <w:rPr>
          <w:rFonts w:hint="eastAsia"/>
          <w:lang w:eastAsia="zh-CN"/>
        </w:rPr>
      </w:pPr>
      <w:r>
        <w:rPr>
          <w:rFonts w:hint="eastAsia"/>
          <w:lang w:eastAsia="zh-CN"/>
        </w:rPr>
        <w:t>一般公共预算支出情况表</w:t>
      </w:r>
    </w:p>
    <w:p w14:paraId="7D496D30">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658"/>
        <w:gridCol w:w="1641"/>
        <w:gridCol w:w="1716"/>
        <w:gridCol w:w="1965"/>
        <w:gridCol w:w="1729"/>
        <w:gridCol w:w="1715"/>
        <w:gridCol w:w="71"/>
        <w:gridCol w:w="1682"/>
        <w:gridCol w:w="1683"/>
      </w:tblGrid>
      <w:tr w14:paraId="1663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noWrap w:val="0"/>
          </w:tcPr>
          <w:p w14:paraId="25779B9F">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rPr>
              <w:t>环江毛南族自治县思恩镇扶贫站</w:t>
            </w:r>
          </w:p>
        </w:tc>
        <w:tc>
          <w:tcPr>
            <w:tcW w:w="3461" w:type="dxa"/>
            <w:gridSpan w:val="3"/>
            <w:tcBorders>
              <w:top w:val="nil"/>
              <w:left w:val="nil"/>
              <w:right w:val="nil"/>
            </w:tcBorders>
            <w:noWrap w:val="0"/>
          </w:tcPr>
          <w:p w14:paraId="1DA7F1E9">
            <w:pPr>
              <w:ind w:firstLine="176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14:paraId="6C38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noWrap w:val="0"/>
          </w:tcPr>
          <w:p w14:paraId="08D6D773">
            <w:pPr>
              <w:jc w:val="center"/>
              <w:rPr>
                <w:rFonts w:hint="eastAsia"/>
                <w:vertAlign w:val="baseline"/>
                <w:lang w:eastAsia="zh-CN"/>
              </w:rPr>
            </w:pPr>
            <w:r>
              <w:rPr>
                <w:sz w:val="17"/>
                <w:szCs w:val="17"/>
              </w:rPr>
              <w:t>科目编码</w:t>
            </w:r>
          </w:p>
        </w:tc>
        <w:tc>
          <w:tcPr>
            <w:tcW w:w="1676" w:type="dxa"/>
            <w:vMerge w:val="restart"/>
            <w:noWrap w:val="0"/>
          </w:tcPr>
          <w:p w14:paraId="785F64A0">
            <w:pPr>
              <w:jc w:val="center"/>
              <w:rPr>
                <w:rFonts w:hint="eastAsia"/>
                <w:vertAlign w:val="baseline"/>
                <w:lang w:eastAsia="zh-CN"/>
              </w:rPr>
            </w:pPr>
            <w:r>
              <w:rPr>
                <w:sz w:val="17"/>
                <w:szCs w:val="17"/>
              </w:rPr>
              <w:t>部门（单位）代码</w:t>
            </w:r>
          </w:p>
        </w:tc>
        <w:tc>
          <w:tcPr>
            <w:tcW w:w="1662" w:type="dxa"/>
            <w:vMerge w:val="restart"/>
            <w:noWrap w:val="0"/>
          </w:tcPr>
          <w:p w14:paraId="12F8DEB8">
            <w:pPr>
              <w:pStyle w:val="13"/>
              <w:spacing w:after="120" w:line="240" w:lineRule="auto"/>
              <w:ind w:firstLine="0"/>
              <w:jc w:val="center"/>
              <w:rPr>
                <w:sz w:val="17"/>
                <w:szCs w:val="17"/>
              </w:rPr>
            </w:pPr>
            <w:r>
              <w:rPr>
                <w:sz w:val="17"/>
                <w:szCs w:val="17"/>
              </w:rPr>
              <w:t>部门（单位）名称</w:t>
            </w:r>
          </w:p>
          <w:p w14:paraId="040E6412">
            <w:pPr>
              <w:jc w:val="center"/>
              <w:rPr>
                <w:rFonts w:hint="eastAsia"/>
                <w:vertAlign w:val="baseline"/>
                <w:lang w:eastAsia="zh-CN"/>
              </w:rPr>
            </w:pPr>
            <w:r>
              <w:rPr>
                <w:sz w:val="17"/>
                <w:szCs w:val="17"/>
              </w:rPr>
              <w:t>（功能分类科目名称）</w:t>
            </w:r>
          </w:p>
        </w:tc>
        <w:tc>
          <w:tcPr>
            <w:tcW w:w="1717" w:type="dxa"/>
            <w:vMerge w:val="restart"/>
            <w:noWrap w:val="0"/>
          </w:tcPr>
          <w:p w14:paraId="76BCA0CA">
            <w:pPr>
              <w:jc w:val="center"/>
              <w:rPr>
                <w:rFonts w:hint="eastAsia"/>
                <w:vertAlign w:val="baseline"/>
                <w:lang w:eastAsia="zh-CN"/>
              </w:rPr>
            </w:pPr>
            <w:r>
              <w:rPr>
                <w:sz w:val="17"/>
                <w:szCs w:val="17"/>
              </w:rPr>
              <w:t>合计</w:t>
            </w:r>
          </w:p>
        </w:tc>
        <w:tc>
          <w:tcPr>
            <w:tcW w:w="5398" w:type="dxa"/>
            <w:gridSpan w:val="4"/>
            <w:noWrap w:val="0"/>
          </w:tcPr>
          <w:p w14:paraId="2B2291D9">
            <w:pPr>
              <w:jc w:val="center"/>
              <w:rPr>
                <w:rFonts w:hint="eastAsia"/>
                <w:vertAlign w:val="baseline"/>
                <w:lang w:eastAsia="zh-CN"/>
              </w:rPr>
            </w:pPr>
            <w:r>
              <w:rPr>
                <w:sz w:val="17"/>
                <w:szCs w:val="17"/>
              </w:rPr>
              <w:t>基本支出</w:t>
            </w:r>
          </w:p>
        </w:tc>
        <w:tc>
          <w:tcPr>
            <w:tcW w:w="1694" w:type="dxa"/>
            <w:vMerge w:val="restart"/>
            <w:noWrap w:val="0"/>
          </w:tcPr>
          <w:p w14:paraId="0598052D">
            <w:pPr>
              <w:jc w:val="center"/>
              <w:rPr>
                <w:rFonts w:hint="eastAsia"/>
                <w:vertAlign w:val="baseline"/>
                <w:lang w:eastAsia="zh-CN"/>
              </w:rPr>
            </w:pPr>
            <w:r>
              <w:rPr>
                <w:sz w:val="17"/>
                <w:szCs w:val="17"/>
              </w:rPr>
              <w:t>项目支出</w:t>
            </w:r>
          </w:p>
        </w:tc>
        <w:tc>
          <w:tcPr>
            <w:tcW w:w="1695" w:type="dxa"/>
            <w:vMerge w:val="restart"/>
            <w:noWrap w:val="0"/>
          </w:tcPr>
          <w:p w14:paraId="4F7C4D2C">
            <w:pPr>
              <w:jc w:val="center"/>
              <w:rPr>
                <w:rFonts w:hint="eastAsia"/>
                <w:vertAlign w:val="baseline"/>
                <w:lang w:eastAsia="zh-CN"/>
              </w:rPr>
            </w:pPr>
            <w:r>
              <w:rPr>
                <w:sz w:val="17"/>
                <w:szCs w:val="17"/>
              </w:rPr>
              <w:t>结转下年支出</w:t>
            </w:r>
          </w:p>
        </w:tc>
      </w:tr>
      <w:tr w14:paraId="7557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noWrap w:val="0"/>
          </w:tcPr>
          <w:p w14:paraId="328133AC">
            <w:pPr>
              <w:jc w:val="center"/>
              <w:rPr>
                <w:rFonts w:hint="eastAsia"/>
                <w:vertAlign w:val="baseline"/>
                <w:lang w:eastAsia="zh-CN"/>
              </w:rPr>
            </w:pPr>
          </w:p>
        </w:tc>
        <w:tc>
          <w:tcPr>
            <w:tcW w:w="1676" w:type="dxa"/>
            <w:vMerge w:val="continue"/>
            <w:noWrap w:val="0"/>
          </w:tcPr>
          <w:p w14:paraId="59BBD10F">
            <w:pPr>
              <w:jc w:val="center"/>
              <w:rPr>
                <w:rFonts w:hint="eastAsia"/>
                <w:vertAlign w:val="baseline"/>
                <w:lang w:eastAsia="zh-CN"/>
              </w:rPr>
            </w:pPr>
          </w:p>
        </w:tc>
        <w:tc>
          <w:tcPr>
            <w:tcW w:w="1662" w:type="dxa"/>
            <w:vMerge w:val="continue"/>
            <w:noWrap w:val="0"/>
          </w:tcPr>
          <w:p w14:paraId="335CE7EE">
            <w:pPr>
              <w:jc w:val="center"/>
              <w:rPr>
                <w:rFonts w:hint="eastAsia"/>
                <w:vertAlign w:val="baseline"/>
                <w:lang w:eastAsia="zh-CN"/>
              </w:rPr>
            </w:pPr>
          </w:p>
        </w:tc>
        <w:tc>
          <w:tcPr>
            <w:tcW w:w="1717" w:type="dxa"/>
            <w:vMerge w:val="continue"/>
            <w:noWrap w:val="0"/>
          </w:tcPr>
          <w:p w14:paraId="1DC3C013">
            <w:pPr>
              <w:jc w:val="center"/>
              <w:rPr>
                <w:rFonts w:hint="eastAsia"/>
                <w:vertAlign w:val="baseline"/>
                <w:lang w:eastAsia="zh-CN"/>
              </w:rPr>
            </w:pPr>
          </w:p>
        </w:tc>
        <w:tc>
          <w:tcPr>
            <w:tcW w:w="1879" w:type="dxa"/>
            <w:noWrap w:val="0"/>
            <w:vAlign w:val="center"/>
          </w:tcPr>
          <w:p w14:paraId="3A42D59C">
            <w:pPr>
              <w:pStyle w:val="13"/>
              <w:spacing w:line="240" w:lineRule="auto"/>
              <w:ind w:firstLine="0"/>
              <w:jc w:val="center"/>
              <w:rPr>
                <w:rFonts w:hint="eastAsia"/>
                <w:vertAlign w:val="baseline"/>
                <w:lang w:eastAsia="zh-CN"/>
              </w:rPr>
            </w:pPr>
            <w:r>
              <w:rPr>
                <w:sz w:val="17"/>
                <w:szCs w:val="17"/>
              </w:rPr>
              <w:t>小计</w:t>
            </w:r>
          </w:p>
        </w:tc>
        <w:tc>
          <w:tcPr>
            <w:tcW w:w="1729" w:type="dxa"/>
            <w:noWrap w:val="0"/>
            <w:vAlign w:val="center"/>
          </w:tcPr>
          <w:p w14:paraId="20F74985">
            <w:pPr>
              <w:pStyle w:val="13"/>
              <w:spacing w:line="240" w:lineRule="auto"/>
              <w:ind w:firstLine="0"/>
              <w:jc w:val="center"/>
              <w:rPr>
                <w:rFonts w:hint="eastAsia"/>
                <w:vertAlign w:val="baseline"/>
                <w:lang w:eastAsia="zh-CN"/>
              </w:rPr>
            </w:pPr>
            <w:r>
              <w:rPr>
                <w:sz w:val="17"/>
                <w:szCs w:val="17"/>
              </w:rPr>
              <w:t>人员经费</w:t>
            </w:r>
          </w:p>
        </w:tc>
        <w:tc>
          <w:tcPr>
            <w:tcW w:w="1790" w:type="dxa"/>
            <w:gridSpan w:val="2"/>
            <w:noWrap w:val="0"/>
            <w:vAlign w:val="center"/>
          </w:tcPr>
          <w:p w14:paraId="08392774">
            <w:pPr>
              <w:pStyle w:val="13"/>
              <w:spacing w:line="240" w:lineRule="auto"/>
              <w:ind w:firstLine="440"/>
              <w:jc w:val="center"/>
              <w:rPr>
                <w:rFonts w:hint="eastAsia"/>
                <w:vertAlign w:val="baseline"/>
                <w:lang w:eastAsia="zh-CN"/>
              </w:rPr>
            </w:pPr>
            <w:r>
              <w:rPr>
                <w:sz w:val="17"/>
                <w:szCs w:val="17"/>
              </w:rPr>
              <w:t>公用经费</w:t>
            </w:r>
          </w:p>
        </w:tc>
        <w:tc>
          <w:tcPr>
            <w:tcW w:w="1694" w:type="dxa"/>
            <w:vMerge w:val="continue"/>
            <w:noWrap w:val="0"/>
          </w:tcPr>
          <w:p w14:paraId="7738F24D">
            <w:pPr>
              <w:jc w:val="center"/>
              <w:rPr>
                <w:rFonts w:hint="eastAsia"/>
                <w:vertAlign w:val="baseline"/>
                <w:lang w:eastAsia="zh-CN"/>
              </w:rPr>
            </w:pPr>
          </w:p>
        </w:tc>
        <w:tc>
          <w:tcPr>
            <w:tcW w:w="1695" w:type="dxa"/>
            <w:vMerge w:val="continue"/>
            <w:noWrap w:val="0"/>
          </w:tcPr>
          <w:p w14:paraId="1AABA29B">
            <w:pPr>
              <w:jc w:val="center"/>
              <w:rPr>
                <w:rFonts w:hint="eastAsia"/>
                <w:vertAlign w:val="baseline"/>
                <w:lang w:eastAsia="zh-CN"/>
              </w:rPr>
            </w:pPr>
          </w:p>
        </w:tc>
      </w:tr>
      <w:tr w14:paraId="4C4F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29213532">
            <w:pPr>
              <w:jc w:val="center"/>
              <w:rPr>
                <w:rFonts w:hint="eastAsia"/>
                <w:vertAlign w:val="baseline"/>
                <w:lang w:eastAsia="zh-CN"/>
              </w:rPr>
            </w:pPr>
          </w:p>
        </w:tc>
        <w:tc>
          <w:tcPr>
            <w:tcW w:w="1676" w:type="dxa"/>
            <w:noWrap w:val="0"/>
            <w:vAlign w:val="center"/>
          </w:tcPr>
          <w:p w14:paraId="09087F27">
            <w:pPr>
              <w:jc w:val="center"/>
              <w:rPr>
                <w:rFonts w:hint="eastAsia"/>
                <w:vertAlign w:val="baseline"/>
                <w:lang w:eastAsia="zh-CN"/>
              </w:rPr>
            </w:pPr>
          </w:p>
        </w:tc>
        <w:tc>
          <w:tcPr>
            <w:tcW w:w="1662" w:type="dxa"/>
            <w:noWrap w:val="0"/>
            <w:vAlign w:val="center"/>
          </w:tcPr>
          <w:p w14:paraId="6D5F7298">
            <w:pPr>
              <w:jc w:val="center"/>
              <w:rPr>
                <w:rFonts w:hint="eastAsia"/>
                <w:vertAlign w:val="baseline"/>
                <w:lang w:eastAsia="zh-CN"/>
              </w:rPr>
            </w:pPr>
          </w:p>
        </w:tc>
        <w:tc>
          <w:tcPr>
            <w:tcW w:w="1717" w:type="dxa"/>
            <w:noWrap w:val="0"/>
            <w:vAlign w:val="center"/>
          </w:tcPr>
          <w:p w14:paraId="31D2722A">
            <w:pPr>
              <w:pStyle w:val="13"/>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noWrap w:val="0"/>
            <w:vAlign w:val="center"/>
          </w:tcPr>
          <w:p w14:paraId="69183EF2">
            <w:pPr>
              <w:pStyle w:val="13"/>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noWrap w:val="0"/>
            <w:vAlign w:val="center"/>
          </w:tcPr>
          <w:p w14:paraId="6EC56AAE">
            <w:pPr>
              <w:pStyle w:val="13"/>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noWrap w:val="0"/>
            <w:vAlign w:val="center"/>
          </w:tcPr>
          <w:p w14:paraId="201ECB57">
            <w:pPr>
              <w:pStyle w:val="13"/>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noWrap w:val="0"/>
            <w:vAlign w:val="center"/>
          </w:tcPr>
          <w:p w14:paraId="55E2FFFA">
            <w:pPr>
              <w:pStyle w:val="13"/>
              <w:spacing w:line="240" w:lineRule="auto"/>
              <w:ind w:firstLine="66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noWrap w:val="0"/>
            <w:vAlign w:val="center"/>
          </w:tcPr>
          <w:p w14:paraId="13814E1E">
            <w:pPr>
              <w:pStyle w:val="13"/>
              <w:spacing w:line="240" w:lineRule="auto"/>
              <w:ind w:right="700" w:firstLine="0"/>
              <w:jc w:val="center"/>
              <w:rPr>
                <w:rFonts w:hint="eastAsia"/>
                <w:vertAlign w:val="baseline"/>
                <w:lang w:eastAsia="zh-CN"/>
              </w:rPr>
            </w:pPr>
            <w:r>
              <w:rPr>
                <w:rFonts w:ascii="Times New Roman" w:hAnsi="Times New Roman" w:eastAsia="Times New Roman" w:cs="Times New Roman"/>
                <w:b/>
                <w:bCs/>
                <w:sz w:val="17"/>
                <w:szCs w:val="17"/>
              </w:rPr>
              <w:t>6</w:t>
            </w:r>
          </w:p>
        </w:tc>
      </w:tr>
      <w:tr w14:paraId="01E9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2AEEFA6C">
            <w:pPr>
              <w:pStyle w:val="13"/>
              <w:spacing w:line="240" w:lineRule="auto"/>
              <w:ind w:firstLine="0"/>
              <w:jc w:val="center"/>
              <w:rPr>
                <w:rFonts w:hint="eastAsia"/>
                <w:vertAlign w:val="baseline"/>
                <w:lang w:eastAsia="zh-CN"/>
              </w:rPr>
            </w:pPr>
          </w:p>
        </w:tc>
        <w:tc>
          <w:tcPr>
            <w:tcW w:w="1676" w:type="dxa"/>
            <w:noWrap w:val="0"/>
            <w:vAlign w:val="center"/>
          </w:tcPr>
          <w:p w14:paraId="204C38D4">
            <w:pPr>
              <w:pStyle w:val="13"/>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701006</w:t>
            </w:r>
          </w:p>
        </w:tc>
        <w:tc>
          <w:tcPr>
            <w:tcW w:w="1662" w:type="dxa"/>
            <w:noWrap w:val="0"/>
            <w:vAlign w:val="center"/>
          </w:tcPr>
          <w:p w14:paraId="13D02C6C">
            <w:pPr>
              <w:pStyle w:val="13"/>
              <w:spacing w:line="240" w:lineRule="auto"/>
              <w:ind w:firstLine="0"/>
              <w:jc w:val="center"/>
              <w:rPr>
                <w:rFonts w:hint="eastAsia"/>
                <w:vertAlign w:val="baseline"/>
                <w:lang w:eastAsia="zh-CN"/>
              </w:rPr>
            </w:pPr>
          </w:p>
        </w:tc>
        <w:tc>
          <w:tcPr>
            <w:tcW w:w="1717" w:type="dxa"/>
            <w:noWrap w:val="0"/>
            <w:vAlign w:val="center"/>
          </w:tcPr>
          <w:p w14:paraId="56109223">
            <w:pPr>
              <w:pStyle w:val="13"/>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21.19</w:t>
            </w:r>
          </w:p>
        </w:tc>
        <w:tc>
          <w:tcPr>
            <w:tcW w:w="1879" w:type="dxa"/>
            <w:noWrap w:val="0"/>
            <w:vAlign w:val="center"/>
          </w:tcPr>
          <w:p w14:paraId="5E8E13F3">
            <w:pPr>
              <w:pStyle w:val="13"/>
              <w:spacing w:line="240" w:lineRule="auto"/>
              <w:ind w:left="1320" w:firstLine="0"/>
              <w:jc w:val="center"/>
              <w:rPr>
                <w:rFonts w:hint="eastAsia"/>
                <w:vertAlign w:val="baseline"/>
                <w:lang w:eastAsia="zh-CN"/>
              </w:rPr>
            </w:pPr>
            <w:r>
              <w:rPr>
                <w:rFonts w:hint="eastAsia"/>
                <w:b/>
                <w:bCs/>
                <w:sz w:val="17"/>
                <w:szCs w:val="17"/>
                <w:lang w:val="en-US" w:eastAsia="zh-CN"/>
              </w:rPr>
              <w:t>21.19</w:t>
            </w:r>
          </w:p>
        </w:tc>
        <w:tc>
          <w:tcPr>
            <w:tcW w:w="1729" w:type="dxa"/>
            <w:noWrap w:val="0"/>
            <w:vAlign w:val="center"/>
          </w:tcPr>
          <w:p w14:paraId="20A7B1E1">
            <w:pPr>
              <w:pStyle w:val="13"/>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20.52</w:t>
            </w:r>
          </w:p>
        </w:tc>
        <w:tc>
          <w:tcPr>
            <w:tcW w:w="1790" w:type="dxa"/>
            <w:gridSpan w:val="2"/>
            <w:noWrap w:val="0"/>
            <w:vAlign w:val="center"/>
          </w:tcPr>
          <w:p w14:paraId="7F58F145">
            <w:pPr>
              <w:pStyle w:val="13"/>
              <w:spacing w:line="240" w:lineRule="auto"/>
              <w:ind w:left="1060" w:firstLine="0"/>
              <w:jc w:val="center"/>
              <w:rPr>
                <w:rFonts w:hint="eastAsia"/>
                <w:vertAlign w:val="baseline"/>
                <w:lang w:eastAsia="zh-CN"/>
              </w:rPr>
            </w:pPr>
            <w:r>
              <w:rPr>
                <w:rFonts w:hint="eastAsia"/>
                <w:b/>
                <w:bCs/>
                <w:sz w:val="17"/>
                <w:szCs w:val="17"/>
                <w:lang w:val="en-US" w:eastAsia="zh-CN"/>
              </w:rPr>
              <w:t>0.67</w:t>
            </w:r>
          </w:p>
        </w:tc>
        <w:tc>
          <w:tcPr>
            <w:tcW w:w="1694" w:type="dxa"/>
            <w:noWrap w:val="0"/>
            <w:vAlign w:val="center"/>
          </w:tcPr>
          <w:p w14:paraId="079A492F">
            <w:pPr>
              <w:pStyle w:val="13"/>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728B5862">
            <w:pPr>
              <w:pStyle w:val="13"/>
              <w:spacing w:line="240" w:lineRule="auto"/>
              <w:ind w:firstLine="400"/>
              <w:jc w:val="center"/>
              <w:rPr>
                <w:rFonts w:hint="eastAsia"/>
                <w:vertAlign w:val="baseline"/>
                <w:lang w:eastAsia="zh-CN"/>
              </w:rPr>
            </w:pPr>
            <w:r>
              <w:rPr>
                <w:rFonts w:hint="eastAsia"/>
                <w:b/>
                <w:bCs/>
                <w:sz w:val="17"/>
                <w:szCs w:val="17"/>
                <w:lang w:val="en-US" w:eastAsia="zh-CN"/>
              </w:rPr>
              <w:t>0</w:t>
            </w:r>
          </w:p>
        </w:tc>
      </w:tr>
      <w:tr w14:paraId="1551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23FEB53F">
            <w:pPr>
              <w:pStyle w:val="13"/>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noWrap w:val="0"/>
            <w:vAlign w:val="center"/>
          </w:tcPr>
          <w:p w14:paraId="0D7C750E">
            <w:pPr>
              <w:pStyle w:val="13"/>
              <w:spacing w:line="240" w:lineRule="auto"/>
              <w:ind w:firstLine="0"/>
              <w:jc w:val="center"/>
              <w:rPr>
                <w:rFonts w:hint="eastAsia"/>
                <w:vertAlign w:val="baseline"/>
                <w:lang w:eastAsia="zh-CN"/>
              </w:rPr>
            </w:pPr>
          </w:p>
        </w:tc>
        <w:tc>
          <w:tcPr>
            <w:tcW w:w="1662" w:type="dxa"/>
            <w:noWrap w:val="0"/>
            <w:vAlign w:val="center"/>
          </w:tcPr>
          <w:p w14:paraId="2EF2BD44">
            <w:pPr>
              <w:pStyle w:val="13"/>
              <w:spacing w:line="240" w:lineRule="auto"/>
              <w:ind w:firstLine="0"/>
              <w:jc w:val="center"/>
              <w:rPr>
                <w:rFonts w:hint="eastAsia"/>
                <w:vertAlign w:val="baseline"/>
                <w:lang w:eastAsia="zh-CN"/>
              </w:rPr>
            </w:pPr>
            <w:r>
              <w:rPr>
                <w:rFonts w:hint="eastAsia"/>
                <w:sz w:val="17"/>
                <w:szCs w:val="17"/>
                <w:lang w:val="en-US" w:eastAsia="zh-CN"/>
              </w:rPr>
              <w:t>其他群众团体事务支出</w:t>
            </w:r>
          </w:p>
        </w:tc>
        <w:tc>
          <w:tcPr>
            <w:tcW w:w="1717" w:type="dxa"/>
            <w:noWrap w:val="0"/>
            <w:vAlign w:val="center"/>
          </w:tcPr>
          <w:p w14:paraId="38952B69">
            <w:pPr>
              <w:pStyle w:val="13"/>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0.19</w:t>
            </w:r>
          </w:p>
        </w:tc>
        <w:tc>
          <w:tcPr>
            <w:tcW w:w="1879" w:type="dxa"/>
            <w:noWrap w:val="0"/>
            <w:vAlign w:val="center"/>
          </w:tcPr>
          <w:p w14:paraId="75258F3F">
            <w:pPr>
              <w:pStyle w:val="13"/>
              <w:spacing w:line="240" w:lineRule="auto"/>
              <w:ind w:left="1320" w:firstLine="0"/>
              <w:jc w:val="center"/>
              <w:rPr>
                <w:rFonts w:hint="eastAsia"/>
                <w:vertAlign w:val="baseline"/>
                <w:lang w:eastAsia="zh-CN"/>
              </w:rPr>
            </w:pPr>
            <w:r>
              <w:rPr>
                <w:rFonts w:hint="eastAsia"/>
                <w:b/>
                <w:bCs/>
                <w:sz w:val="17"/>
                <w:szCs w:val="17"/>
                <w:lang w:val="en-US" w:eastAsia="zh-CN"/>
              </w:rPr>
              <w:t>0.19</w:t>
            </w:r>
          </w:p>
        </w:tc>
        <w:tc>
          <w:tcPr>
            <w:tcW w:w="1729" w:type="dxa"/>
            <w:noWrap w:val="0"/>
            <w:vAlign w:val="center"/>
          </w:tcPr>
          <w:p w14:paraId="24EAA1B3">
            <w:pPr>
              <w:pStyle w:val="13"/>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noWrap w:val="0"/>
            <w:vAlign w:val="center"/>
          </w:tcPr>
          <w:p w14:paraId="4B5E757C">
            <w:pPr>
              <w:pStyle w:val="13"/>
              <w:spacing w:line="240" w:lineRule="auto"/>
              <w:ind w:left="1060" w:firstLine="0"/>
              <w:jc w:val="center"/>
              <w:rPr>
                <w:rFonts w:hint="eastAsia"/>
                <w:vertAlign w:val="baseline"/>
                <w:lang w:eastAsia="zh-CN"/>
              </w:rPr>
            </w:pPr>
            <w:r>
              <w:rPr>
                <w:rFonts w:hint="eastAsia"/>
                <w:b/>
                <w:bCs/>
                <w:sz w:val="17"/>
                <w:szCs w:val="17"/>
                <w:lang w:val="en-US" w:eastAsia="zh-CN"/>
              </w:rPr>
              <w:t>0.19</w:t>
            </w:r>
          </w:p>
        </w:tc>
        <w:tc>
          <w:tcPr>
            <w:tcW w:w="1694" w:type="dxa"/>
            <w:noWrap w:val="0"/>
            <w:vAlign w:val="center"/>
          </w:tcPr>
          <w:p w14:paraId="299E2C67">
            <w:pPr>
              <w:pStyle w:val="13"/>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2C2F1BCC">
            <w:pPr>
              <w:pStyle w:val="13"/>
              <w:spacing w:line="240" w:lineRule="auto"/>
              <w:ind w:firstLine="400"/>
              <w:jc w:val="center"/>
              <w:rPr>
                <w:rFonts w:hint="eastAsia"/>
                <w:vertAlign w:val="baseline"/>
                <w:lang w:eastAsia="zh-CN"/>
              </w:rPr>
            </w:pPr>
            <w:r>
              <w:rPr>
                <w:rFonts w:hint="eastAsia"/>
                <w:b/>
                <w:bCs/>
                <w:sz w:val="17"/>
                <w:szCs w:val="17"/>
                <w:lang w:val="en-US" w:eastAsia="zh-CN"/>
              </w:rPr>
              <w:t>0</w:t>
            </w:r>
          </w:p>
        </w:tc>
      </w:tr>
      <w:tr w14:paraId="28D1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70499508">
            <w:pPr>
              <w:pStyle w:val="13"/>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noWrap w:val="0"/>
            <w:vAlign w:val="center"/>
          </w:tcPr>
          <w:p w14:paraId="021A62DD">
            <w:pPr>
              <w:pStyle w:val="13"/>
              <w:spacing w:line="240" w:lineRule="auto"/>
              <w:ind w:firstLine="0"/>
              <w:jc w:val="center"/>
              <w:rPr>
                <w:rFonts w:hint="eastAsia"/>
                <w:vertAlign w:val="baseline"/>
                <w:lang w:eastAsia="zh-CN"/>
              </w:rPr>
            </w:pPr>
          </w:p>
        </w:tc>
        <w:tc>
          <w:tcPr>
            <w:tcW w:w="1662" w:type="dxa"/>
            <w:noWrap w:val="0"/>
            <w:vAlign w:val="center"/>
          </w:tcPr>
          <w:p w14:paraId="7589E967">
            <w:pPr>
              <w:pStyle w:val="13"/>
              <w:spacing w:line="240" w:lineRule="auto"/>
              <w:ind w:firstLine="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noWrap w:val="0"/>
            <w:vAlign w:val="center"/>
          </w:tcPr>
          <w:p w14:paraId="41CCE6BC">
            <w:pPr>
              <w:pStyle w:val="13"/>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2.50</w:t>
            </w:r>
          </w:p>
        </w:tc>
        <w:tc>
          <w:tcPr>
            <w:tcW w:w="1879" w:type="dxa"/>
            <w:noWrap w:val="0"/>
            <w:vAlign w:val="center"/>
          </w:tcPr>
          <w:p w14:paraId="131A4CE7">
            <w:pPr>
              <w:pStyle w:val="13"/>
              <w:spacing w:line="240" w:lineRule="auto"/>
              <w:ind w:left="1320" w:firstLine="0"/>
              <w:jc w:val="center"/>
              <w:rPr>
                <w:rFonts w:hint="eastAsia"/>
                <w:vertAlign w:val="baseline"/>
                <w:lang w:eastAsia="zh-CN"/>
              </w:rPr>
            </w:pPr>
            <w:r>
              <w:rPr>
                <w:rFonts w:hint="eastAsia"/>
                <w:b/>
                <w:bCs/>
                <w:sz w:val="17"/>
                <w:szCs w:val="17"/>
                <w:lang w:val="en-US" w:eastAsia="zh-CN"/>
              </w:rPr>
              <w:t>2.50</w:t>
            </w:r>
          </w:p>
        </w:tc>
        <w:tc>
          <w:tcPr>
            <w:tcW w:w="1729" w:type="dxa"/>
            <w:noWrap w:val="0"/>
            <w:vAlign w:val="center"/>
          </w:tcPr>
          <w:p w14:paraId="245CBD64">
            <w:pPr>
              <w:pStyle w:val="13"/>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2.50</w:t>
            </w:r>
          </w:p>
        </w:tc>
        <w:tc>
          <w:tcPr>
            <w:tcW w:w="1790" w:type="dxa"/>
            <w:gridSpan w:val="2"/>
            <w:noWrap w:val="0"/>
            <w:vAlign w:val="center"/>
          </w:tcPr>
          <w:p w14:paraId="7529A0F7">
            <w:pPr>
              <w:pStyle w:val="13"/>
              <w:spacing w:line="240" w:lineRule="auto"/>
              <w:ind w:left="1060" w:firstLine="0"/>
              <w:jc w:val="center"/>
              <w:rPr>
                <w:rFonts w:hint="eastAsia"/>
                <w:vertAlign w:val="baseline"/>
                <w:lang w:eastAsia="zh-CN"/>
              </w:rPr>
            </w:pPr>
            <w:r>
              <w:rPr>
                <w:rFonts w:hint="eastAsia"/>
                <w:b/>
                <w:bCs/>
                <w:sz w:val="17"/>
                <w:szCs w:val="17"/>
                <w:lang w:val="en-US" w:eastAsia="zh-CN"/>
              </w:rPr>
              <w:t>0.00</w:t>
            </w:r>
          </w:p>
        </w:tc>
        <w:tc>
          <w:tcPr>
            <w:tcW w:w="1694" w:type="dxa"/>
            <w:noWrap w:val="0"/>
            <w:vAlign w:val="center"/>
          </w:tcPr>
          <w:p w14:paraId="1DB80304">
            <w:pPr>
              <w:pStyle w:val="13"/>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062D9707">
            <w:pPr>
              <w:pStyle w:val="13"/>
              <w:spacing w:line="240" w:lineRule="auto"/>
              <w:ind w:firstLine="400"/>
              <w:jc w:val="center"/>
              <w:rPr>
                <w:rFonts w:hint="eastAsia"/>
                <w:vertAlign w:val="baseline"/>
                <w:lang w:eastAsia="zh-CN"/>
              </w:rPr>
            </w:pPr>
            <w:r>
              <w:rPr>
                <w:rFonts w:hint="eastAsia"/>
                <w:b/>
                <w:bCs/>
                <w:sz w:val="17"/>
                <w:szCs w:val="17"/>
                <w:lang w:val="en-US" w:eastAsia="zh-CN"/>
              </w:rPr>
              <w:t>0</w:t>
            </w:r>
          </w:p>
        </w:tc>
      </w:tr>
      <w:tr w14:paraId="3D82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15C8EC36">
            <w:pPr>
              <w:pStyle w:val="13"/>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noWrap w:val="0"/>
            <w:vAlign w:val="center"/>
          </w:tcPr>
          <w:p w14:paraId="4BA8E3FE">
            <w:pPr>
              <w:pStyle w:val="13"/>
              <w:spacing w:line="240" w:lineRule="auto"/>
              <w:ind w:firstLine="0"/>
              <w:jc w:val="center"/>
              <w:rPr>
                <w:rFonts w:hint="eastAsia"/>
                <w:vertAlign w:val="baseline"/>
                <w:lang w:eastAsia="zh-CN"/>
              </w:rPr>
            </w:pPr>
          </w:p>
        </w:tc>
        <w:tc>
          <w:tcPr>
            <w:tcW w:w="1662" w:type="dxa"/>
            <w:noWrap w:val="0"/>
            <w:vAlign w:val="center"/>
          </w:tcPr>
          <w:p w14:paraId="0808997E">
            <w:pPr>
              <w:pStyle w:val="13"/>
              <w:spacing w:line="240" w:lineRule="auto"/>
              <w:ind w:firstLine="0"/>
              <w:jc w:val="center"/>
              <w:rPr>
                <w:rFonts w:hint="eastAsia"/>
                <w:vertAlign w:val="baseline"/>
                <w:lang w:eastAsia="zh-CN"/>
              </w:rPr>
            </w:pPr>
            <w:r>
              <w:rPr>
                <w:rFonts w:hint="eastAsia"/>
                <w:sz w:val="17"/>
                <w:szCs w:val="17"/>
                <w:lang w:val="en-US" w:eastAsia="zh-CN"/>
              </w:rPr>
              <w:t>事业运行</w:t>
            </w:r>
          </w:p>
        </w:tc>
        <w:tc>
          <w:tcPr>
            <w:tcW w:w="1717" w:type="dxa"/>
            <w:noWrap w:val="0"/>
            <w:vAlign w:val="center"/>
          </w:tcPr>
          <w:p w14:paraId="7CCA0281">
            <w:pPr>
              <w:pStyle w:val="13"/>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16.28</w:t>
            </w:r>
          </w:p>
        </w:tc>
        <w:tc>
          <w:tcPr>
            <w:tcW w:w="1879" w:type="dxa"/>
            <w:noWrap w:val="0"/>
            <w:vAlign w:val="center"/>
          </w:tcPr>
          <w:p w14:paraId="4F1F40AB">
            <w:pPr>
              <w:pStyle w:val="13"/>
              <w:spacing w:line="240" w:lineRule="auto"/>
              <w:ind w:left="1320" w:firstLine="0"/>
              <w:jc w:val="center"/>
              <w:rPr>
                <w:rFonts w:hint="eastAsia"/>
                <w:vertAlign w:val="baseline"/>
                <w:lang w:eastAsia="zh-CN"/>
              </w:rPr>
            </w:pPr>
            <w:r>
              <w:rPr>
                <w:rFonts w:hint="eastAsia"/>
                <w:b/>
                <w:bCs/>
                <w:sz w:val="17"/>
                <w:szCs w:val="17"/>
                <w:lang w:val="en-US" w:eastAsia="zh-CN"/>
              </w:rPr>
              <w:t>16.28</w:t>
            </w:r>
          </w:p>
        </w:tc>
        <w:tc>
          <w:tcPr>
            <w:tcW w:w="1729" w:type="dxa"/>
            <w:noWrap w:val="0"/>
            <w:vAlign w:val="center"/>
          </w:tcPr>
          <w:p w14:paraId="53ABBC73">
            <w:pPr>
              <w:pStyle w:val="13"/>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15.80</w:t>
            </w:r>
          </w:p>
        </w:tc>
        <w:tc>
          <w:tcPr>
            <w:tcW w:w="1790" w:type="dxa"/>
            <w:gridSpan w:val="2"/>
            <w:noWrap w:val="0"/>
            <w:vAlign w:val="center"/>
          </w:tcPr>
          <w:p w14:paraId="7C96BC5B">
            <w:pPr>
              <w:pStyle w:val="13"/>
              <w:spacing w:line="240" w:lineRule="auto"/>
              <w:ind w:left="1060" w:firstLine="0"/>
              <w:jc w:val="center"/>
              <w:rPr>
                <w:rFonts w:hint="eastAsia"/>
                <w:vertAlign w:val="baseline"/>
                <w:lang w:eastAsia="zh-CN"/>
              </w:rPr>
            </w:pPr>
            <w:r>
              <w:rPr>
                <w:rFonts w:hint="eastAsia"/>
                <w:b/>
                <w:bCs/>
                <w:sz w:val="17"/>
                <w:szCs w:val="17"/>
                <w:lang w:val="en-US" w:eastAsia="zh-CN"/>
              </w:rPr>
              <w:t>0.48</w:t>
            </w:r>
          </w:p>
        </w:tc>
        <w:tc>
          <w:tcPr>
            <w:tcW w:w="1694" w:type="dxa"/>
            <w:noWrap w:val="0"/>
            <w:vAlign w:val="center"/>
          </w:tcPr>
          <w:p w14:paraId="4586353D">
            <w:pPr>
              <w:pStyle w:val="13"/>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29D4B868">
            <w:pPr>
              <w:pStyle w:val="13"/>
              <w:spacing w:line="240" w:lineRule="auto"/>
              <w:ind w:firstLine="400"/>
              <w:jc w:val="center"/>
              <w:rPr>
                <w:rFonts w:hint="eastAsia"/>
                <w:vertAlign w:val="baseline"/>
                <w:lang w:eastAsia="zh-CN"/>
              </w:rPr>
            </w:pPr>
            <w:r>
              <w:rPr>
                <w:rFonts w:hint="eastAsia"/>
                <w:b/>
                <w:bCs/>
                <w:sz w:val="17"/>
                <w:szCs w:val="17"/>
                <w:lang w:val="en-US" w:eastAsia="zh-CN"/>
              </w:rPr>
              <w:t>0</w:t>
            </w:r>
          </w:p>
        </w:tc>
      </w:tr>
      <w:tr w14:paraId="4533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05749CBA">
            <w:pPr>
              <w:pStyle w:val="13"/>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noWrap w:val="0"/>
            <w:vAlign w:val="center"/>
          </w:tcPr>
          <w:p w14:paraId="745F9DFF">
            <w:pPr>
              <w:pStyle w:val="13"/>
              <w:spacing w:line="240" w:lineRule="auto"/>
              <w:ind w:firstLine="0"/>
              <w:jc w:val="center"/>
              <w:rPr>
                <w:rFonts w:hint="eastAsia"/>
                <w:vertAlign w:val="baseline"/>
                <w:lang w:eastAsia="zh-CN"/>
              </w:rPr>
            </w:pPr>
          </w:p>
        </w:tc>
        <w:tc>
          <w:tcPr>
            <w:tcW w:w="1662" w:type="dxa"/>
            <w:noWrap w:val="0"/>
            <w:vAlign w:val="center"/>
          </w:tcPr>
          <w:p w14:paraId="633E24EF">
            <w:pPr>
              <w:pStyle w:val="13"/>
              <w:spacing w:line="240" w:lineRule="auto"/>
              <w:ind w:firstLine="0"/>
              <w:jc w:val="center"/>
              <w:rPr>
                <w:rFonts w:hint="eastAsia"/>
                <w:vertAlign w:val="baseline"/>
                <w:lang w:eastAsia="zh-CN"/>
              </w:rPr>
            </w:pPr>
            <w:r>
              <w:rPr>
                <w:rFonts w:hint="eastAsia"/>
                <w:sz w:val="17"/>
                <w:szCs w:val="17"/>
                <w:lang w:val="en-US" w:eastAsia="zh-CN"/>
              </w:rPr>
              <w:t>住房公积金</w:t>
            </w:r>
          </w:p>
        </w:tc>
        <w:tc>
          <w:tcPr>
            <w:tcW w:w="1717" w:type="dxa"/>
            <w:noWrap w:val="0"/>
            <w:vAlign w:val="center"/>
          </w:tcPr>
          <w:p w14:paraId="0440CAB3">
            <w:pPr>
              <w:pStyle w:val="13"/>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2.22</w:t>
            </w:r>
          </w:p>
        </w:tc>
        <w:tc>
          <w:tcPr>
            <w:tcW w:w="1879" w:type="dxa"/>
            <w:noWrap w:val="0"/>
            <w:vAlign w:val="center"/>
          </w:tcPr>
          <w:p w14:paraId="2894E436">
            <w:pPr>
              <w:pStyle w:val="13"/>
              <w:spacing w:line="240" w:lineRule="auto"/>
              <w:ind w:left="1320" w:firstLine="0"/>
              <w:jc w:val="center"/>
              <w:rPr>
                <w:rFonts w:hint="eastAsia"/>
                <w:vertAlign w:val="baseline"/>
                <w:lang w:eastAsia="zh-CN"/>
              </w:rPr>
            </w:pPr>
            <w:r>
              <w:rPr>
                <w:rFonts w:hint="eastAsia"/>
                <w:b/>
                <w:bCs/>
                <w:sz w:val="17"/>
                <w:szCs w:val="17"/>
                <w:lang w:val="en-US" w:eastAsia="zh-CN"/>
              </w:rPr>
              <w:t>2.22</w:t>
            </w:r>
          </w:p>
        </w:tc>
        <w:tc>
          <w:tcPr>
            <w:tcW w:w="1729" w:type="dxa"/>
            <w:noWrap w:val="0"/>
            <w:vAlign w:val="center"/>
          </w:tcPr>
          <w:p w14:paraId="16CCD2DB">
            <w:pPr>
              <w:pStyle w:val="13"/>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2.22</w:t>
            </w:r>
          </w:p>
        </w:tc>
        <w:tc>
          <w:tcPr>
            <w:tcW w:w="1790" w:type="dxa"/>
            <w:gridSpan w:val="2"/>
            <w:noWrap w:val="0"/>
            <w:vAlign w:val="center"/>
          </w:tcPr>
          <w:p w14:paraId="5815ABA3">
            <w:pPr>
              <w:pStyle w:val="13"/>
              <w:spacing w:line="240" w:lineRule="auto"/>
              <w:ind w:left="1060" w:firstLine="0"/>
              <w:jc w:val="center"/>
              <w:rPr>
                <w:rFonts w:hint="eastAsia"/>
                <w:vertAlign w:val="baseline"/>
                <w:lang w:eastAsia="zh-CN"/>
              </w:rPr>
            </w:pPr>
            <w:r>
              <w:rPr>
                <w:rFonts w:hint="eastAsia"/>
                <w:b/>
                <w:bCs/>
                <w:sz w:val="17"/>
                <w:szCs w:val="17"/>
                <w:lang w:val="en-US" w:eastAsia="zh-CN"/>
              </w:rPr>
              <w:t>0.00</w:t>
            </w:r>
          </w:p>
        </w:tc>
        <w:tc>
          <w:tcPr>
            <w:tcW w:w="1694" w:type="dxa"/>
            <w:noWrap w:val="0"/>
            <w:vAlign w:val="center"/>
          </w:tcPr>
          <w:p w14:paraId="5BCB94FF">
            <w:pPr>
              <w:pStyle w:val="13"/>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0D1B6874">
            <w:pPr>
              <w:pStyle w:val="13"/>
              <w:spacing w:line="240" w:lineRule="auto"/>
              <w:ind w:firstLine="400"/>
              <w:jc w:val="center"/>
              <w:rPr>
                <w:rFonts w:hint="eastAsia"/>
                <w:vertAlign w:val="baseline"/>
                <w:lang w:eastAsia="zh-CN"/>
              </w:rPr>
            </w:pPr>
            <w:r>
              <w:rPr>
                <w:rFonts w:hint="eastAsia"/>
                <w:b/>
                <w:bCs/>
                <w:sz w:val="17"/>
                <w:szCs w:val="17"/>
                <w:lang w:val="en-US" w:eastAsia="zh-CN"/>
              </w:rPr>
              <w:t>0</w:t>
            </w:r>
          </w:p>
        </w:tc>
      </w:tr>
      <w:tr w14:paraId="2086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noWrap w:val="0"/>
          </w:tcPr>
          <w:p w14:paraId="1EB4CC0F">
            <w:pPr>
              <w:jc w:val="left"/>
              <w:rPr>
                <w:rFonts w:hint="eastAsia"/>
                <w:vertAlign w:val="baseline"/>
                <w:lang w:eastAsia="zh-CN"/>
              </w:rPr>
            </w:pPr>
            <w:r>
              <w:rPr>
                <w:sz w:val="16"/>
                <w:szCs w:val="16"/>
              </w:rPr>
              <w:t>注：本报表金额单位转换时可能存在四舍五入尾数误差。</w:t>
            </w:r>
          </w:p>
        </w:tc>
      </w:tr>
    </w:tbl>
    <w:p w14:paraId="5215F550">
      <w:pPr>
        <w:jc w:val="left"/>
        <w:rPr>
          <w:rFonts w:hint="eastAsia"/>
          <w:lang w:eastAsia="zh-CN"/>
        </w:rPr>
      </w:pPr>
    </w:p>
    <w:p w14:paraId="2F56E60F">
      <w:pPr>
        <w:jc w:val="left"/>
        <w:rPr>
          <w:lang w:eastAsia="zh-CN"/>
        </w:rPr>
      </w:pPr>
    </w:p>
    <w:p w14:paraId="64F6A6EA">
      <w:pPr>
        <w:jc w:val="left"/>
        <w:rPr>
          <w:lang w:eastAsia="zh-CN"/>
        </w:rPr>
      </w:pPr>
    </w:p>
    <w:p w14:paraId="34532332">
      <w:pPr>
        <w:jc w:val="left"/>
        <w:rPr>
          <w:lang w:eastAsia="zh-CN"/>
        </w:rPr>
      </w:pPr>
    </w:p>
    <w:p w14:paraId="1CCB7CEA">
      <w:pPr>
        <w:jc w:val="left"/>
        <w:rPr>
          <w:lang w:eastAsia="zh-CN"/>
        </w:rPr>
      </w:pPr>
    </w:p>
    <w:p w14:paraId="03C48E61">
      <w:pPr>
        <w:jc w:val="left"/>
        <w:rPr>
          <w:lang w:eastAsia="zh-CN"/>
        </w:rPr>
      </w:pPr>
    </w:p>
    <w:p w14:paraId="11A1567E">
      <w:pPr>
        <w:jc w:val="left"/>
        <w:rPr>
          <w:lang w:eastAsia="zh-CN"/>
        </w:rPr>
      </w:pPr>
    </w:p>
    <w:p w14:paraId="6E3B92CB">
      <w:pPr>
        <w:jc w:val="left"/>
        <w:rPr>
          <w:lang w:eastAsia="zh-CN"/>
        </w:rPr>
      </w:pPr>
    </w:p>
    <w:p w14:paraId="22E4108C">
      <w:pPr>
        <w:jc w:val="left"/>
        <w:rPr>
          <w:lang w:eastAsia="zh-CN"/>
        </w:rPr>
      </w:pPr>
    </w:p>
    <w:p w14:paraId="7447DCE2">
      <w:pPr>
        <w:jc w:val="left"/>
        <w:rPr>
          <w:lang w:eastAsia="zh-CN"/>
        </w:rPr>
      </w:pPr>
    </w:p>
    <w:p w14:paraId="7B8DDA99">
      <w:pPr>
        <w:jc w:val="left"/>
        <w:rPr>
          <w:lang w:eastAsia="zh-CN"/>
        </w:rPr>
      </w:pPr>
    </w:p>
    <w:p w14:paraId="303A936F">
      <w:pPr>
        <w:jc w:val="left"/>
        <w:rPr>
          <w:lang w:eastAsia="zh-CN"/>
        </w:rPr>
      </w:pPr>
    </w:p>
    <w:p w14:paraId="08546BAE">
      <w:pPr>
        <w:jc w:val="left"/>
        <w:rPr>
          <w:lang w:eastAsia="zh-CN"/>
        </w:rPr>
      </w:pPr>
    </w:p>
    <w:p w14:paraId="1CE855EE">
      <w:pPr>
        <w:jc w:val="left"/>
        <w:rPr>
          <w:lang w:eastAsia="zh-CN"/>
        </w:rPr>
      </w:pPr>
    </w:p>
    <w:p w14:paraId="6DE70487">
      <w:pPr>
        <w:jc w:val="left"/>
        <w:rPr>
          <w:lang w:eastAsia="zh-CN"/>
        </w:rPr>
      </w:pPr>
    </w:p>
    <w:p w14:paraId="35AE3513">
      <w:pPr>
        <w:pStyle w:val="1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14:paraId="4D4B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noWrap w:val="0"/>
          </w:tcPr>
          <w:p w14:paraId="1F00950B">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rPr>
              <w:t>环江毛南族自治县思恩镇扶贫站</w:t>
            </w:r>
          </w:p>
        </w:tc>
        <w:tc>
          <w:tcPr>
            <w:tcW w:w="3113" w:type="dxa"/>
            <w:tcBorders>
              <w:top w:val="nil"/>
              <w:left w:val="nil"/>
              <w:right w:val="nil"/>
            </w:tcBorders>
            <w:noWrap w:val="0"/>
          </w:tcPr>
          <w:p w14:paraId="03554882">
            <w:pPr>
              <w:ind w:firstLine="176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14:paraId="6F6D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noWrap w:val="0"/>
          </w:tcPr>
          <w:p w14:paraId="1DAEBCB8">
            <w:pPr>
              <w:jc w:val="left"/>
              <w:rPr>
                <w:vertAlign w:val="baseline"/>
                <w:lang w:eastAsia="zh-CN"/>
              </w:rPr>
            </w:pPr>
            <w:r>
              <w:rPr>
                <w:sz w:val="17"/>
                <w:szCs w:val="17"/>
              </w:rPr>
              <w:t>部门预算支出经济分类科目</w:t>
            </w:r>
          </w:p>
        </w:tc>
        <w:tc>
          <w:tcPr>
            <w:tcW w:w="9336" w:type="dxa"/>
            <w:gridSpan w:val="3"/>
            <w:noWrap w:val="0"/>
          </w:tcPr>
          <w:p w14:paraId="7C6768A8">
            <w:pPr>
              <w:jc w:val="left"/>
              <w:rPr>
                <w:vertAlign w:val="baseline"/>
                <w:lang w:eastAsia="zh-CN"/>
              </w:rPr>
            </w:pPr>
            <w:r>
              <w:rPr>
                <w:sz w:val="17"/>
                <w:szCs w:val="17"/>
              </w:rPr>
              <w:t>本年一般公共预算基本支出</w:t>
            </w:r>
          </w:p>
        </w:tc>
      </w:tr>
      <w:tr w14:paraId="40D5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noWrap w:val="0"/>
            <w:vAlign w:val="center"/>
          </w:tcPr>
          <w:p w14:paraId="773E3C92">
            <w:pPr>
              <w:pStyle w:val="13"/>
              <w:spacing w:line="240" w:lineRule="auto"/>
              <w:ind w:firstLine="0"/>
              <w:jc w:val="center"/>
              <w:rPr>
                <w:vertAlign w:val="baseline"/>
                <w:lang w:eastAsia="zh-CN"/>
              </w:rPr>
            </w:pPr>
            <w:r>
              <w:rPr>
                <w:sz w:val="17"/>
                <w:szCs w:val="17"/>
              </w:rPr>
              <w:t>科目编码</w:t>
            </w:r>
          </w:p>
        </w:tc>
        <w:tc>
          <w:tcPr>
            <w:tcW w:w="3111" w:type="dxa"/>
            <w:noWrap w:val="0"/>
            <w:vAlign w:val="center"/>
          </w:tcPr>
          <w:p w14:paraId="00D79F3C">
            <w:pPr>
              <w:pStyle w:val="13"/>
              <w:spacing w:line="240" w:lineRule="auto"/>
              <w:ind w:firstLine="0"/>
              <w:jc w:val="center"/>
              <w:rPr>
                <w:vertAlign w:val="baseline"/>
                <w:lang w:eastAsia="zh-CN"/>
              </w:rPr>
            </w:pPr>
            <w:r>
              <w:rPr>
                <w:sz w:val="17"/>
                <w:szCs w:val="17"/>
              </w:rPr>
              <w:t>科目名称</w:t>
            </w:r>
          </w:p>
        </w:tc>
        <w:tc>
          <w:tcPr>
            <w:tcW w:w="3111" w:type="dxa"/>
            <w:noWrap w:val="0"/>
            <w:vAlign w:val="center"/>
          </w:tcPr>
          <w:p w14:paraId="49AD5AEC">
            <w:pPr>
              <w:pStyle w:val="13"/>
              <w:spacing w:line="240" w:lineRule="auto"/>
              <w:ind w:firstLine="0"/>
              <w:jc w:val="center"/>
              <w:rPr>
                <w:vertAlign w:val="baseline"/>
                <w:lang w:eastAsia="zh-CN"/>
              </w:rPr>
            </w:pPr>
            <w:r>
              <w:rPr>
                <w:sz w:val="17"/>
                <w:szCs w:val="17"/>
              </w:rPr>
              <w:t>合计</w:t>
            </w:r>
          </w:p>
        </w:tc>
        <w:tc>
          <w:tcPr>
            <w:tcW w:w="3112" w:type="dxa"/>
            <w:noWrap w:val="0"/>
            <w:vAlign w:val="center"/>
          </w:tcPr>
          <w:p w14:paraId="509D03D8">
            <w:pPr>
              <w:pStyle w:val="13"/>
              <w:spacing w:line="240" w:lineRule="auto"/>
              <w:ind w:firstLine="0"/>
              <w:jc w:val="center"/>
              <w:rPr>
                <w:vertAlign w:val="baseline"/>
                <w:lang w:eastAsia="zh-CN"/>
              </w:rPr>
            </w:pPr>
            <w:r>
              <w:rPr>
                <w:sz w:val="17"/>
                <w:szCs w:val="17"/>
              </w:rPr>
              <w:t>人员经费</w:t>
            </w:r>
          </w:p>
        </w:tc>
        <w:tc>
          <w:tcPr>
            <w:tcW w:w="3113" w:type="dxa"/>
            <w:noWrap w:val="0"/>
            <w:vAlign w:val="center"/>
          </w:tcPr>
          <w:p w14:paraId="7A775A85">
            <w:pPr>
              <w:pStyle w:val="13"/>
              <w:spacing w:line="240" w:lineRule="auto"/>
              <w:ind w:firstLine="0"/>
              <w:jc w:val="center"/>
              <w:rPr>
                <w:vertAlign w:val="baseline"/>
                <w:lang w:eastAsia="zh-CN"/>
              </w:rPr>
            </w:pPr>
            <w:r>
              <w:rPr>
                <w:sz w:val="17"/>
                <w:szCs w:val="17"/>
              </w:rPr>
              <w:t>公用经费</w:t>
            </w:r>
          </w:p>
        </w:tc>
      </w:tr>
      <w:tr w14:paraId="56C0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30A466E5">
            <w:pPr>
              <w:pStyle w:val="13"/>
              <w:spacing w:line="240" w:lineRule="auto"/>
              <w:ind w:firstLine="0"/>
              <w:jc w:val="left"/>
              <w:rPr>
                <w:vertAlign w:val="baseline"/>
                <w:lang w:eastAsia="zh-CN"/>
              </w:rPr>
            </w:pPr>
          </w:p>
        </w:tc>
        <w:tc>
          <w:tcPr>
            <w:tcW w:w="3111" w:type="dxa"/>
            <w:noWrap w:val="0"/>
            <w:vAlign w:val="center"/>
          </w:tcPr>
          <w:p w14:paraId="019DAE55">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noWrap w:val="0"/>
            <w:vAlign w:val="center"/>
          </w:tcPr>
          <w:p w14:paraId="0314F409">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21.19</w:t>
            </w:r>
          </w:p>
        </w:tc>
        <w:tc>
          <w:tcPr>
            <w:tcW w:w="3112" w:type="dxa"/>
            <w:noWrap w:val="0"/>
            <w:vAlign w:val="center"/>
          </w:tcPr>
          <w:p w14:paraId="7EECCE43">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20.52</w:t>
            </w:r>
          </w:p>
        </w:tc>
        <w:tc>
          <w:tcPr>
            <w:tcW w:w="3113" w:type="dxa"/>
            <w:noWrap w:val="0"/>
            <w:vAlign w:val="center"/>
          </w:tcPr>
          <w:p w14:paraId="4B3E6331">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0.67</w:t>
            </w:r>
          </w:p>
        </w:tc>
      </w:tr>
      <w:tr w14:paraId="36CC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661416C4">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noWrap w:val="0"/>
            <w:vAlign w:val="center"/>
          </w:tcPr>
          <w:p w14:paraId="49BEE969">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noWrap w:val="0"/>
            <w:vAlign w:val="center"/>
          </w:tcPr>
          <w:p w14:paraId="61E2AF16">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20.52</w:t>
            </w:r>
          </w:p>
        </w:tc>
        <w:tc>
          <w:tcPr>
            <w:tcW w:w="3112" w:type="dxa"/>
            <w:noWrap w:val="0"/>
            <w:vAlign w:val="center"/>
          </w:tcPr>
          <w:p w14:paraId="785015B7">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20.52</w:t>
            </w:r>
          </w:p>
        </w:tc>
        <w:tc>
          <w:tcPr>
            <w:tcW w:w="3113" w:type="dxa"/>
            <w:noWrap w:val="0"/>
            <w:vAlign w:val="center"/>
          </w:tcPr>
          <w:p w14:paraId="6C7909FD">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1ABD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1209F7EF">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noWrap w:val="0"/>
            <w:vAlign w:val="center"/>
          </w:tcPr>
          <w:p w14:paraId="48224F3C">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noWrap w:val="0"/>
            <w:vAlign w:val="center"/>
          </w:tcPr>
          <w:p w14:paraId="25B453E1">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6.25</w:t>
            </w:r>
          </w:p>
        </w:tc>
        <w:tc>
          <w:tcPr>
            <w:tcW w:w="3112" w:type="dxa"/>
            <w:noWrap w:val="0"/>
            <w:vAlign w:val="center"/>
          </w:tcPr>
          <w:p w14:paraId="510466D4">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6.25</w:t>
            </w:r>
          </w:p>
        </w:tc>
        <w:tc>
          <w:tcPr>
            <w:tcW w:w="3113" w:type="dxa"/>
            <w:noWrap w:val="0"/>
            <w:vAlign w:val="center"/>
          </w:tcPr>
          <w:p w14:paraId="74F9026A">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2C3C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3006006D">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noWrap w:val="0"/>
            <w:vAlign w:val="center"/>
          </w:tcPr>
          <w:p w14:paraId="1B822AAE">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noWrap w:val="0"/>
            <w:vAlign w:val="center"/>
          </w:tcPr>
          <w:p w14:paraId="46D67AE6">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1.61</w:t>
            </w:r>
          </w:p>
        </w:tc>
        <w:tc>
          <w:tcPr>
            <w:tcW w:w="3112" w:type="dxa"/>
            <w:noWrap w:val="0"/>
            <w:vAlign w:val="center"/>
          </w:tcPr>
          <w:p w14:paraId="0D4A5D3C">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1.61</w:t>
            </w:r>
          </w:p>
        </w:tc>
        <w:tc>
          <w:tcPr>
            <w:tcW w:w="3113" w:type="dxa"/>
            <w:noWrap w:val="0"/>
            <w:vAlign w:val="center"/>
          </w:tcPr>
          <w:p w14:paraId="56E2FC96">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116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05A17FBB">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noWrap w:val="0"/>
            <w:vAlign w:val="center"/>
          </w:tcPr>
          <w:p w14:paraId="1BD0E426">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noWrap w:val="0"/>
            <w:vAlign w:val="center"/>
          </w:tcPr>
          <w:p w14:paraId="5FF1E843">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2" w:type="dxa"/>
            <w:noWrap w:val="0"/>
            <w:vAlign w:val="center"/>
          </w:tcPr>
          <w:p w14:paraId="03B1703C">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3" w:type="dxa"/>
            <w:noWrap w:val="0"/>
            <w:vAlign w:val="center"/>
          </w:tcPr>
          <w:p w14:paraId="43DC8FB8">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4BF1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658BBA22">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noWrap w:val="0"/>
            <w:vAlign w:val="center"/>
          </w:tcPr>
          <w:p w14:paraId="3EDC675F">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noWrap w:val="0"/>
            <w:vAlign w:val="center"/>
          </w:tcPr>
          <w:p w14:paraId="1D844122">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2.75</w:t>
            </w:r>
          </w:p>
        </w:tc>
        <w:tc>
          <w:tcPr>
            <w:tcW w:w="3112" w:type="dxa"/>
            <w:noWrap w:val="0"/>
            <w:vAlign w:val="center"/>
          </w:tcPr>
          <w:p w14:paraId="1E965F9E">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2.75</w:t>
            </w:r>
          </w:p>
        </w:tc>
        <w:tc>
          <w:tcPr>
            <w:tcW w:w="3113" w:type="dxa"/>
            <w:noWrap w:val="0"/>
            <w:vAlign w:val="center"/>
          </w:tcPr>
          <w:p w14:paraId="7D6C7CBD">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781B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5F7D9D16">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noWrap w:val="0"/>
            <w:vAlign w:val="center"/>
          </w:tcPr>
          <w:p w14:paraId="0A977AA3">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noWrap w:val="0"/>
            <w:vAlign w:val="center"/>
          </w:tcPr>
          <w:p w14:paraId="0BAD99DA">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2.50</w:t>
            </w:r>
          </w:p>
        </w:tc>
        <w:tc>
          <w:tcPr>
            <w:tcW w:w="3112" w:type="dxa"/>
            <w:noWrap w:val="0"/>
            <w:vAlign w:val="center"/>
          </w:tcPr>
          <w:p w14:paraId="14C8D35D">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2.50</w:t>
            </w:r>
          </w:p>
        </w:tc>
        <w:tc>
          <w:tcPr>
            <w:tcW w:w="3113" w:type="dxa"/>
            <w:noWrap w:val="0"/>
            <w:vAlign w:val="center"/>
          </w:tcPr>
          <w:p w14:paraId="598A511B">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1B17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3E6BF9BA">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noWrap w:val="0"/>
            <w:vAlign w:val="center"/>
          </w:tcPr>
          <w:p w14:paraId="22330F0C">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noWrap w:val="0"/>
            <w:vAlign w:val="center"/>
          </w:tcPr>
          <w:p w14:paraId="694D186D">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noWrap w:val="0"/>
            <w:vAlign w:val="center"/>
          </w:tcPr>
          <w:p w14:paraId="05CFC929">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3" w:type="dxa"/>
            <w:noWrap w:val="0"/>
            <w:vAlign w:val="center"/>
          </w:tcPr>
          <w:p w14:paraId="3BDEC2D0">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1B5C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6674FDEC">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noWrap w:val="0"/>
            <w:vAlign w:val="center"/>
          </w:tcPr>
          <w:p w14:paraId="7F33EAB9">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noWrap w:val="0"/>
            <w:vAlign w:val="center"/>
          </w:tcPr>
          <w:p w14:paraId="6578D815">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0.11</w:t>
            </w:r>
          </w:p>
        </w:tc>
        <w:tc>
          <w:tcPr>
            <w:tcW w:w="3112" w:type="dxa"/>
            <w:noWrap w:val="0"/>
            <w:vAlign w:val="center"/>
          </w:tcPr>
          <w:p w14:paraId="275C09F5">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0.11</w:t>
            </w:r>
          </w:p>
        </w:tc>
        <w:tc>
          <w:tcPr>
            <w:tcW w:w="3113" w:type="dxa"/>
            <w:noWrap w:val="0"/>
            <w:vAlign w:val="center"/>
          </w:tcPr>
          <w:p w14:paraId="720856EC">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4E87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612AF440">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noWrap w:val="0"/>
            <w:vAlign w:val="center"/>
          </w:tcPr>
          <w:p w14:paraId="56C68948">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noWrap w:val="0"/>
            <w:vAlign w:val="center"/>
          </w:tcPr>
          <w:p w14:paraId="7DAF628E">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2.22</w:t>
            </w:r>
          </w:p>
        </w:tc>
        <w:tc>
          <w:tcPr>
            <w:tcW w:w="3112" w:type="dxa"/>
            <w:noWrap w:val="0"/>
            <w:vAlign w:val="center"/>
          </w:tcPr>
          <w:p w14:paraId="74346933">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2.22</w:t>
            </w:r>
          </w:p>
        </w:tc>
        <w:tc>
          <w:tcPr>
            <w:tcW w:w="3113" w:type="dxa"/>
            <w:noWrap w:val="0"/>
            <w:vAlign w:val="center"/>
          </w:tcPr>
          <w:p w14:paraId="3D81A074">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7630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31668D7C">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noWrap w:val="0"/>
            <w:vAlign w:val="center"/>
          </w:tcPr>
          <w:p w14:paraId="4D078778">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noWrap w:val="0"/>
            <w:vAlign w:val="center"/>
          </w:tcPr>
          <w:p w14:paraId="66414DD7">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0.67</w:t>
            </w:r>
          </w:p>
        </w:tc>
        <w:tc>
          <w:tcPr>
            <w:tcW w:w="3112" w:type="dxa"/>
            <w:noWrap w:val="0"/>
            <w:vAlign w:val="center"/>
          </w:tcPr>
          <w:p w14:paraId="40DE4758">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53224060">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0.67</w:t>
            </w:r>
          </w:p>
        </w:tc>
      </w:tr>
      <w:tr w14:paraId="5089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1F5F519A">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noWrap w:val="0"/>
            <w:vAlign w:val="center"/>
          </w:tcPr>
          <w:p w14:paraId="2D73EAC4">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noWrap w:val="0"/>
            <w:vAlign w:val="center"/>
          </w:tcPr>
          <w:p w14:paraId="1FD213B2">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0.48</w:t>
            </w:r>
          </w:p>
        </w:tc>
        <w:tc>
          <w:tcPr>
            <w:tcW w:w="3112" w:type="dxa"/>
            <w:noWrap w:val="0"/>
            <w:vAlign w:val="center"/>
          </w:tcPr>
          <w:p w14:paraId="39EE2EF8">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2E5D5DCC">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0.48</w:t>
            </w:r>
          </w:p>
        </w:tc>
      </w:tr>
      <w:tr w14:paraId="4530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708C3A5C">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noWrap w:val="0"/>
            <w:vAlign w:val="center"/>
          </w:tcPr>
          <w:p w14:paraId="23D609FC">
            <w:pPr>
              <w:pStyle w:val="13"/>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noWrap w:val="0"/>
            <w:vAlign w:val="center"/>
          </w:tcPr>
          <w:p w14:paraId="6F7A9220">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2" w:type="dxa"/>
            <w:noWrap w:val="0"/>
            <w:vAlign w:val="center"/>
          </w:tcPr>
          <w:p w14:paraId="1BBC1132">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0DCDDB3B">
            <w:pPr>
              <w:pStyle w:val="13"/>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0.19</w:t>
            </w:r>
          </w:p>
        </w:tc>
      </w:tr>
      <w:tr w14:paraId="6ED3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noWrap w:val="0"/>
          </w:tcPr>
          <w:p w14:paraId="36F21B41">
            <w:pPr>
              <w:jc w:val="left"/>
              <w:rPr>
                <w:sz w:val="16"/>
                <w:szCs w:val="16"/>
              </w:rPr>
            </w:pPr>
          </w:p>
          <w:p w14:paraId="752DDD88">
            <w:pPr>
              <w:jc w:val="left"/>
              <w:rPr>
                <w:vertAlign w:val="baseline"/>
                <w:lang w:eastAsia="zh-CN"/>
              </w:rPr>
            </w:pPr>
            <w:r>
              <w:rPr>
                <w:sz w:val="16"/>
                <w:szCs w:val="16"/>
              </w:rPr>
              <w:t>注：本报表金额单位转换时可能存在四舍五入尾数误差。</w:t>
            </w:r>
          </w:p>
        </w:tc>
      </w:tr>
    </w:tbl>
    <w:p w14:paraId="75C05B5B">
      <w:pPr>
        <w:jc w:val="left"/>
        <w:rPr>
          <w:lang w:eastAsia="zh-CN"/>
        </w:rPr>
      </w:pPr>
    </w:p>
    <w:p w14:paraId="5580FF4A">
      <w:pPr>
        <w:jc w:val="left"/>
        <w:rPr>
          <w:lang w:eastAsia="zh-CN"/>
        </w:rPr>
      </w:pPr>
    </w:p>
    <w:p w14:paraId="76037B2D">
      <w:pPr>
        <w:jc w:val="left"/>
        <w:rPr>
          <w:lang w:eastAsia="zh-CN"/>
        </w:rPr>
      </w:pPr>
    </w:p>
    <w:p w14:paraId="3E8B7CC6">
      <w:pPr>
        <w:jc w:val="left"/>
        <w:rPr>
          <w:lang w:eastAsia="zh-CN"/>
        </w:rPr>
      </w:pPr>
    </w:p>
    <w:p w14:paraId="3EC2B5A5">
      <w:pPr>
        <w:jc w:val="left"/>
        <w:rPr>
          <w:lang w:eastAsia="zh-CN"/>
        </w:rPr>
      </w:pPr>
    </w:p>
    <w:p w14:paraId="759DB54A">
      <w:pPr>
        <w:jc w:val="left"/>
        <w:rPr>
          <w:lang w:eastAsia="zh-CN"/>
        </w:rPr>
      </w:pPr>
    </w:p>
    <w:p w14:paraId="71CA5928">
      <w:pPr>
        <w:jc w:val="left"/>
        <w:rPr>
          <w:lang w:eastAsia="zh-CN"/>
        </w:rPr>
      </w:pPr>
    </w:p>
    <w:p w14:paraId="6275B5DD">
      <w:pPr>
        <w:jc w:val="left"/>
        <w:rPr>
          <w:lang w:eastAsia="zh-CN"/>
        </w:rPr>
      </w:pPr>
    </w:p>
    <w:p w14:paraId="16375A50">
      <w:pPr>
        <w:jc w:val="left"/>
        <w:rPr>
          <w:lang w:eastAsia="zh-CN"/>
        </w:rPr>
      </w:pPr>
    </w:p>
    <w:p w14:paraId="7CC6BCF6">
      <w:pPr>
        <w:jc w:val="left"/>
        <w:rPr>
          <w:lang w:eastAsia="zh-CN"/>
        </w:rPr>
      </w:pPr>
    </w:p>
    <w:p w14:paraId="6C6A2B42">
      <w:pPr>
        <w:jc w:val="left"/>
        <w:rPr>
          <w:lang w:eastAsia="zh-CN"/>
        </w:rPr>
      </w:pPr>
    </w:p>
    <w:p w14:paraId="54390097">
      <w:pPr>
        <w:jc w:val="left"/>
        <w:rPr>
          <w:lang w:eastAsia="zh-CN"/>
        </w:rPr>
      </w:pPr>
    </w:p>
    <w:p w14:paraId="3BE6EDB9">
      <w:pPr>
        <w:pStyle w:val="1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14:paraId="57D6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noWrap w:val="0"/>
          </w:tcPr>
          <w:p w14:paraId="2434931A">
            <w:pPr>
              <w:pStyle w:val="14"/>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rPr>
              <w:t>环江毛南族自治县思恩镇扶贫站</w:t>
            </w:r>
          </w:p>
        </w:tc>
        <w:tc>
          <w:tcPr>
            <w:tcW w:w="1891" w:type="dxa"/>
            <w:gridSpan w:val="2"/>
            <w:tcBorders>
              <w:top w:val="nil"/>
              <w:left w:val="nil"/>
              <w:right w:val="nil"/>
            </w:tcBorders>
            <w:noWrap w:val="0"/>
          </w:tcPr>
          <w:p w14:paraId="71470ADC">
            <w:pPr>
              <w:pStyle w:val="14"/>
              <w:ind w:firstLine="48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14:paraId="0DA4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noWrap w:val="0"/>
          </w:tcPr>
          <w:p w14:paraId="6D7257E6">
            <w:pPr>
              <w:pStyle w:val="14"/>
              <w:jc w:val="center"/>
              <w:rPr>
                <w:rFonts w:hint="eastAsia"/>
                <w:vertAlign w:val="baseline"/>
                <w:lang w:val="en-US" w:eastAsia="zh-CN"/>
              </w:rPr>
            </w:pPr>
            <w:r>
              <w:rPr>
                <w:sz w:val="17"/>
                <w:szCs w:val="17"/>
              </w:rPr>
              <w:t>门（单位）代码</w:t>
            </w:r>
          </w:p>
        </w:tc>
        <w:tc>
          <w:tcPr>
            <w:tcW w:w="1918" w:type="dxa"/>
            <w:vMerge w:val="restart"/>
            <w:noWrap w:val="0"/>
          </w:tcPr>
          <w:p w14:paraId="49AA7BA3">
            <w:pPr>
              <w:pStyle w:val="14"/>
              <w:jc w:val="center"/>
              <w:rPr>
                <w:rFonts w:hint="eastAsia"/>
                <w:vertAlign w:val="baseline"/>
                <w:lang w:val="en-US" w:eastAsia="zh-CN"/>
              </w:rPr>
            </w:pPr>
            <w:r>
              <w:rPr>
                <w:sz w:val="17"/>
                <w:szCs w:val="17"/>
              </w:rPr>
              <w:t>部门（单位）名称</w:t>
            </w:r>
          </w:p>
        </w:tc>
        <w:tc>
          <w:tcPr>
            <w:tcW w:w="11343" w:type="dxa"/>
            <w:gridSpan w:val="7"/>
            <w:noWrap w:val="0"/>
          </w:tcPr>
          <w:p w14:paraId="0E2473B6">
            <w:pPr>
              <w:pStyle w:val="14"/>
              <w:jc w:val="center"/>
              <w:rPr>
                <w:rFonts w:hint="eastAsia"/>
                <w:vertAlign w:val="baseline"/>
                <w:lang w:val="en-US" w:eastAsia="zh-CN"/>
              </w:rPr>
            </w:pPr>
            <w:r>
              <w:rPr>
                <w:sz w:val="17"/>
                <w:szCs w:val="17"/>
                <w:lang w:val="zh-CN" w:eastAsia="zh-CN" w:bidi="zh-CN"/>
              </w:rPr>
              <w:t>“三</w:t>
            </w:r>
            <w:r>
              <w:rPr>
                <w:sz w:val="17"/>
                <w:szCs w:val="17"/>
              </w:rPr>
              <w:t>公”经费</w:t>
            </w:r>
          </w:p>
        </w:tc>
      </w:tr>
      <w:tr w14:paraId="2EA7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296" w:type="dxa"/>
            <w:vMerge w:val="continue"/>
            <w:noWrap w:val="0"/>
          </w:tcPr>
          <w:p w14:paraId="037B76D1">
            <w:pPr>
              <w:pStyle w:val="14"/>
              <w:jc w:val="center"/>
              <w:rPr>
                <w:rFonts w:hint="eastAsia"/>
                <w:vertAlign w:val="baseline"/>
                <w:lang w:val="en-US" w:eastAsia="zh-CN"/>
              </w:rPr>
            </w:pPr>
          </w:p>
        </w:tc>
        <w:tc>
          <w:tcPr>
            <w:tcW w:w="1918" w:type="dxa"/>
            <w:vMerge w:val="continue"/>
            <w:noWrap w:val="0"/>
          </w:tcPr>
          <w:p w14:paraId="331BFBF4">
            <w:pPr>
              <w:pStyle w:val="14"/>
              <w:jc w:val="center"/>
              <w:rPr>
                <w:rFonts w:hint="eastAsia"/>
                <w:vertAlign w:val="baseline"/>
                <w:lang w:val="en-US" w:eastAsia="zh-CN"/>
              </w:rPr>
            </w:pPr>
          </w:p>
        </w:tc>
        <w:tc>
          <w:tcPr>
            <w:tcW w:w="1884" w:type="dxa"/>
            <w:vMerge w:val="restart"/>
            <w:noWrap w:val="0"/>
          </w:tcPr>
          <w:p w14:paraId="48294848">
            <w:pPr>
              <w:pStyle w:val="14"/>
              <w:jc w:val="center"/>
              <w:rPr>
                <w:rFonts w:hint="eastAsia"/>
                <w:vertAlign w:val="baseline"/>
                <w:lang w:val="en-US" w:eastAsia="zh-CN"/>
              </w:rPr>
            </w:pPr>
            <w:r>
              <w:rPr>
                <w:sz w:val="17"/>
                <w:szCs w:val="17"/>
              </w:rPr>
              <w:t>合计</w:t>
            </w:r>
          </w:p>
        </w:tc>
        <w:tc>
          <w:tcPr>
            <w:tcW w:w="1895" w:type="dxa"/>
            <w:vMerge w:val="restart"/>
            <w:noWrap w:val="0"/>
          </w:tcPr>
          <w:p w14:paraId="06921406">
            <w:pPr>
              <w:pStyle w:val="14"/>
              <w:jc w:val="center"/>
              <w:rPr>
                <w:rFonts w:hint="eastAsia"/>
                <w:vertAlign w:val="baseline"/>
                <w:lang w:val="en-US" w:eastAsia="zh-CN"/>
              </w:rPr>
            </w:pPr>
            <w:r>
              <w:rPr>
                <w:sz w:val="17"/>
                <w:szCs w:val="17"/>
              </w:rPr>
              <w:t>因公出国（境）费</w:t>
            </w:r>
          </w:p>
        </w:tc>
        <w:tc>
          <w:tcPr>
            <w:tcW w:w="5675" w:type="dxa"/>
            <w:gridSpan w:val="4"/>
            <w:noWrap w:val="0"/>
          </w:tcPr>
          <w:p w14:paraId="4DA2ECAF">
            <w:pPr>
              <w:pStyle w:val="14"/>
              <w:jc w:val="center"/>
              <w:rPr>
                <w:rFonts w:hint="eastAsia"/>
                <w:vertAlign w:val="baseline"/>
                <w:lang w:val="en-US" w:eastAsia="zh-CN"/>
              </w:rPr>
            </w:pPr>
            <w:r>
              <w:rPr>
                <w:sz w:val="17"/>
                <w:szCs w:val="17"/>
              </w:rPr>
              <w:t>公务用车购置及运行维护费</w:t>
            </w:r>
          </w:p>
        </w:tc>
        <w:tc>
          <w:tcPr>
            <w:tcW w:w="1889" w:type="dxa"/>
            <w:vMerge w:val="restart"/>
            <w:noWrap w:val="0"/>
          </w:tcPr>
          <w:p w14:paraId="3C950CF0">
            <w:pPr>
              <w:pStyle w:val="14"/>
              <w:jc w:val="center"/>
              <w:rPr>
                <w:rFonts w:hint="eastAsia"/>
                <w:vertAlign w:val="baseline"/>
                <w:lang w:val="en-US" w:eastAsia="zh-CN"/>
              </w:rPr>
            </w:pPr>
            <w:r>
              <w:rPr>
                <w:sz w:val="17"/>
                <w:szCs w:val="17"/>
              </w:rPr>
              <w:t>公务接待费</w:t>
            </w:r>
          </w:p>
        </w:tc>
      </w:tr>
      <w:tr w14:paraId="3D84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noWrap w:val="0"/>
          </w:tcPr>
          <w:p w14:paraId="3364FF88">
            <w:pPr>
              <w:pStyle w:val="14"/>
              <w:jc w:val="center"/>
              <w:rPr>
                <w:rFonts w:hint="eastAsia"/>
                <w:vertAlign w:val="baseline"/>
                <w:lang w:val="en-US" w:eastAsia="zh-CN"/>
              </w:rPr>
            </w:pPr>
          </w:p>
        </w:tc>
        <w:tc>
          <w:tcPr>
            <w:tcW w:w="1918" w:type="dxa"/>
            <w:vMerge w:val="continue"/>
            <w:noWrap w:val="0"/>
          </w:tcPr>
          <w:p w14:paraId="577A78ED">
            <w:pPr>
              <w:pStyle w:val="14"/>
              <w:jc w:val="center"/>
              <w:rPr>
                <w:rFonts w:hint="eastAsia"/>
                <w:vertAlign w:val="baseline"/>
                <w:lang w:val="en-US" w:eastAsia="zh-CN"/>
              </w:rPr>
            </w:pPr>
          </w:p>
        </w:tc>
        <w:tc>
          <w:tcPr>
            <w:tcW w:w="1884" w:type="dxa"/>
            <w:vMerge w:val="continue"/>
            <w:noWrap w:val="0"/>
          </w:tcPr>
          <w:p w14:paraId="7B142C78">
            <w:pPr>
              <w:pStyle w:val="14"/>
              <w:jc w:val="center"/>
              <w:rPr>
                <w:rFonts w:hint="eastAsia"/>
                <w:vertAlign w:val="baseline"/>
                <w:lang w:val="en-US" w:eastAsia="zh-CN"/>
              </w:rPr>
            </w:pPr>
          </w:p>
        </w:tc>
        <w:tc>
          <w:tcPr>
            <w:tcW w:w="1895" w:type="dxa"/>
            <w:vMerge w:val="continue"/>
            <w:noWrap w:val="0"/>
          </w:tcPr>
          <w:p w14:paraId="28EF9428">
            <w:pPr>
              <w:pStyle w:val="14"/>
              <w:jc w:val="center"/>
              <w:rPr>
                <w:rFonts w:hint="eastAsia"/>
                <w:vertAlign w:val="baseline"/>
                <w:lang w:val="en-US" w:eastAsia="zh-CN"/>
              </w:rPr>
            </w:pPr>
          </w:p>
        </w:tc>
        <w:tc>
          <w:tcPr>
            <w:tcW w:w="1888" w:type="dxa"/>
            <w:noWrap w:val="0"/>
            <w:vAlign w:val="center"/>
          </w:tcPr>
          <w:p w14:paraId="0C5AFBAA">
            <w:pPr>
              <w:pStyle w:val="13"/>
              <w:spacing w:line="240" w:lineRule="auto"/>
              <w:ind w:firstLine="0"/>
              <w:jc w:val="center"/>
              <w:rPr>
                <w:rFonts w:hint="eastAsia"/>
                <w:vertAlign w:val="baseline"/>
                <w:lang w:val="en-US" w:eastAsia="zh-CN"/>
              </w:rPr>
            </w:pPr>
            <w:r>
              <w:rPr>
                <w:sz w:val="17"/>
                <w:szCs w:val="17"/>
              </w:rPr>
              <w:t>小计</w:t>
            </w:r>
          </w:p>
        </w:tc>
        <w:tc>
          <w:tcPr>
            <w:tcW w:w="1890" w:type="dxa"/>
            <w:noWrap w:val="0"/>
            <w:vAlign w:val="center"/>
          </w:tcPr>
          <w:p w14:paraId="629542BC">
            <w:pPr>
              <w:pStyle w:val="13"/>
              <w:spacing w:line="240" w:lineRule="auto"/>
              <w:ind w:firstLine="220"/>
              <w:jc w:val="center"/>
              <w:rPr>
                <w:rFonts w:hint="eastAsia"/>
                <w:vertAlign w:val="baseline"/>
                <w:lang w:val="en-US" w:eastAsia="zh-CN"/>
              </w:rPr>
            </w:pPr>
            <w:r>
              <w:rPr>
                <w:sz w:val="17"/>
                <w:szCs w:val="17"/>
              </w:rPr>
              <w:t>公务用车运行维护费</w:t>
            </w:r>
          </w:p>
        </w:tc>
        <w:tc>
          <w:tcPr>
            <w:tcW w:w="1897" w:type="dxa"/>
            <w:gridSpan w:val="2"/>
            <w:noWrap w:val="0"/>
            <w:vAlign w:val="center"/>
          </w:tcPr>
          <w:p w14:paraId="5B0D2F47">
            <w:pPr>
              <w:pStyle w:val="13"/>
              <w:spacing w:line="240" w:lineRule="auto"/>
              <w:ind w:firstLine="400"/>
              <w:jc w:val="center"/>
              <w:rPr>
                <w:rFonts w:hint="eastAsia"/>
                <w:vertAlign w:val="baseline"/>
                <w:lang w:val="en-US" w:eastAsia="zh-CN"/>
              </w:rPr>
            </w:pPr>
            <w:r>
              <w:rPr>
                <w:sz w:val="17"/>
                <w:szCs w:val="17"/>
              </w:rPr>
              <w:t>公务用车购置费</w:t>
            </w:r>
          </w:p>
        </w:tc>
        <w:tc>
          <w:tcPr>
            <w:tcW w:w="1889" w:type="dxa"/>
            <w:vMerge w:val="continue"/>
            <w:noWrap w:val="0"/>
          </w:tcPr>
          <w:p w14:paraId="6E8347C6">
            <w:pPr>
              <w:pStyle w:val="14"/>
              <w:jc w:val="center"/>
              <w:rPr>
                <w:rFonts w:hint="eastAsia"/>
                <w:vertAlign w:val="baseline"/>
                <w:lang w:val="en-US" w:eastAsia="zh-CN"/>
              </w:rPr>
            </w:pPr>
          </w:p>
        </w:tc>
      </w:tr>
      <w:tr w14:paraId="6CDE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14:paraId="58AE04CC">
            <w:pPr>
              <w:jc w:val="center"/>
              <w:rPr>
                <w:rFonts w:hint="eastAsia"/>
                <w:vertAlign w:val="baseline"/>
                <w:lang w:val="en-US" w:eastAsia="zh-CN"/>
              </w:rPr>
            </w:pPr>
          </w:p>
        </w:tc>
        <w:tc>
          <w:tcPr>
            <w:tcW w:w="1918" w:type="dxa"/>
            <w:noWrap w:val="0"/>
            <w:vAlign w:val="center"/>
          </w:tcPr>
          <w:p w14:paraId="63FE1B19">
            <w:pPr>
              <w:jc w:val="center"/>
              <w:rPr>
                <w:rFonts w:hint="eastAsia"/>
                <w:vertAlign w:val="baseline"/>
                <w:lang w:val="en-US" w:eastAsia="zh-CN"/>
              </w:rPr>
            </w:pPr>
          </w:p>
        </w:tc>
        <w:tc>
          <w:tcPr>
            <w:tcW w:w="1884" w:type="dxa"/>
            <w:noWrap w:val="0"/>
            <w:vAlign w:val="center"/>
          </w:tcPr>
          <w:p w14:paraId="7379C79A">
            <w:pPr>
              <w:pStyle w:val="13"/>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noWrap w:val="0"/>
            <w:vAlign w:val="center"/>
          </w:tcPr>
          <w:p w14:paraId="2FB1A0D3">
            <w:pPr>
              <w:pStyle w:val="13"/>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noWrap w:val="0"/>
            <w:vAlign w:val="center"/>
          </w:tcPr>
          <w:p w14:paraId="183351D4">
            <w:pPr>
              <w:pStyle w:val="13"/>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noWrap w:val="0"/>
            <w:vAlign w:val="center"/>
          </w:tcPr>
          <w:p w14:paraId="396D5561">
            <w:pPr>
              <w:pStyle w:val="13"/>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noWrap w:val="0"/>
            <w:vAlign w:val="center"/>
          </w:tcPr>
          <w:p w14:paraId="181C7E92">
            <w:pPr>
              <w:pStyle w:val="13"/>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noWrap w:val="0"/>
            <w:vAlign w:val="center"/>
          </w:tcPr>
          <w:p w14:paraId="621C0944">
            <w:pPr>
              <w:pStyle w:val="13"/>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6</w:t>
            </w:r>
          </w:p>
        </w:tc>
      </w:tr>
      <w:tr w14:paraId="62CC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14:paraId="0C5BB6EA">
            <w:pPr>
              <w:pStyle w:val="13"/>
              <w:spacing w:line="240" w:lineRule="auto"/>
              <w:ind w:firstLine="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701006</w:t>
            </w:r>
          </w:p>
        </w:tc>
        <w:tc>
          <w:tcPr>
            <w:tcW w:w="1918" w:type="dxa"/>
            <w:noWrap w:val="0"/>
            <w:vAlign w:val="center"/>
          </w:tcPr>
          <w:p w14:paraId="58EC3F3C">
            <w:pPr>
              <w:pStyle w:val="13"/>
              <w:spacing w:line="240" w:lineRule="auto"/>
              <w:ind w:firstLine="0"/>
              <w:jc w:val="left"/>
              <w:rPr>
                <w:rFonts w:hint="eastAsia"/>
                <w:vertAlign w:val="baseline"/>
                <w:lang w:val="en-US" w:eastAsia="zh-CN"/>
              </w:rPr>
            </w:pPr>
          </w:p>
        </w:tc>
        <w:tc>
          <w:tcPr>
            <w:tcW w:w="1884" w:type="dxa"/>
            <w:noWrap w:val="0"/>
            <w:vAlign w:val="center"/>
          </w:tcPr>
          <w:p w14:paraId="371109F2">
            <w:pPr>
              <w:pStyle w:val="13"/>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noWrap w:val="0"/>
            <w:vAlign w:val="center"/>
          </w:tcPr>
          <w:p w14:paraId="422975FA">
            <w:pPr>
              <w:pStyle w:val="13"/>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noWrap w:val="0"/>
            <w:vAlign w:val="center"/>
          </w:tcPr>
          <w:p w14:paraId="2076FCF5">
            <w:pPr>
              <w:pStyle w:val="13"/>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noWrap w:val="0"/>
            <w:vAlign w:val="center"/>
          </w:tcPr>
          <w:p w14:paraId="12A0D06C">
            <w:pPr>
              <w:pStyle w:val="13"/>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noWrap w:val="0"/>
            <w:vAlign w:val="center"/>
          </w:tcPr>
          <w:p w14:paraId="3A9A8328">
            <w:pPr>
              <w:pStyle w:val="13"/>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noWrap w:val="0"/>
            <w:vAlign w:val="center"/>
          </w:tcPr>
          <w:p w14:paraId="62200427">
            <w:pPr>
              <w:pStyle w:val="13"/>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14:paraId="4911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noWrap w:val="0"/>
          </w:tcPr>
          <w:p w14:paraId="00C6FEC5">
            <w:pPr>
              <w:pStyle w:val="14"/>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14:paraId="152A4657">
      <w:pPr>
        <w:pStyle w:val="14"/>
        <w:rPr>
          <w:rFonts w:hint="eastAsia"/>
          <w:lang w:val="en-US" w:eastAsia="zh-CN"/>
        </w:rPr>
      </w:pPr>
    </w:p>
    <w:p w14:paraId="7BF7890F">
      <w:pPr>
        <w:pStyle w:val="12"/>
        <w:keepNext/>
        <w:keepLines/>
        <w:spacing w:after="240"/>
        <w:jc w:val="center"/>
      </w:pPr>
    </w:p>
    <w:p w14:paraId="01A84337">
      <w:pPr>
        <w:pStyle w:val="12"/>
        <w:keepNext/>
        <w:keepLines/>
        <w:spacing w:after="240"/>
        <w:jc w:val="center"/>
      </w:pPr>
    </w:p>
    <w:p w14:paraId="2F33B68E">
      <w:pPr>
        <w:pStyle w:val="12"/>
        <w:keepNext/>
        <w:keepLines/>
        <w:spacing w:after="240"/>
        <w:jc w:val="center"/>
      </w:pPr>
    </w:p>
    <w:p w14:paraId="0C7C5D76">
      <w:pPr>
        <w:pStyle w:val="12"/>
        <w:keepNext/>
        <w:keepLines/>
        <w:spacing w:after="240"/>
        <w:jc w:val="center"/>
      </w:pPr>
    </w:p>
    <w:p w14:paraId="0B3A78F9">
      <w:pPr>
        <w:pStyle w:val="12"/>
        <w:keepNext/>
        <w:keepLines/>
        <w:spacing w:after="240"/>
        <w:jc w:val="center"/>
      </w:pPr>
    </w:p>
    <w:p w14:paraId="19DCBF23">
      <w:pPr>
        <w:pStyle w:val="14"/>
      </w:pPr>
    </w:p>
    <w:p w14:paraId="16516ED9">
      <w:pPr>
        <w:pStyle w:val="1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14:paraId="3FF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394" w:type="dxa"/>
            <w:gridSpan w:val="6"/>
            <w:tcBorders>
              <w:top w:val="nil"/>
              <w:left w:val="nil"/>
              <w:right w:val="nil"/>
            </w:tcBorders>
            <w:noWrap w:val="0"/>
          </w:tcPr>
          <w:p w14:paraId="7126044F">
            <w:pPr>
              <w:pStyle w:val="14"/>
              <w:tabs>
                <w:tab w:val="left" w:pos="14213"/>
              </w:tabs>
              <w:ind w:left="101"/>
              <w:jc w:val="left"/>
            </w:pPr>
            <w:r>
              <w:t>单位名称：</w:t>
            </w:r>
            <w:r>
              <w:rPr>
                <w:rFonts w:hint="eastAsia"/>
                <w:lang w:eastAsia="zh-CN"/>
              </w:rPr>
              <w:t>环江毛南族自治县思恩镇扶贫站</w:t>
            </w:r>
            <w:r>
              <w:tab/>
            </w:r>
            <w:r>
              <w:t>单位：万元</w:t>
            </w:r>
          </w:p>
        </w:tc>
        <w:tc>
          <w:tcPr>
            <w:tcW w:w="2163" w:type="dxa"/>
            <w:tcBorders>
              <w:top w:val="nil"/>
              <w:left w:val="nil"/>
              <w:right w:val="nil"/>
            </w:tcBorders>
            <w:noWrap w:val="0"/>
          </w:tcPr>
          <w:p w14:paraId="02C377E9">
            <w:pPr>
              <w:pStyle w:val="14"/>
              <w:tabs>
                <w:tab w:val="left" w:pos="14213"/>
              </w:tabs>
              <w:ind w:left="101" w:firstLine="680"/>
              <w:jc w:val="left"/>
            </w:pPr>
            <w:r>
              <w:rPr>
                <w:rFonts w:hint="eastAsia"/>
              </w:rPr>
              <w:t>单位：万元</w:t>
            </w:r>
          </w:p>
        </w:tc>
      </w:tr>
      <w:tr w14:paraId="34F6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noWrap w:val="0"/>
          </w:tcPr>
          <w:p w14:paraId="656574FF">
            <w:pPr>
              <w:pStyle w:val="14"/>
              <w:jc w:val="center"/>
              <w:rPr>
                <w:vertAlign w:val="baseline"/>
              </w:rPr>
            </w:pPr>
            <w:r>
              <w:rPr>
                <w:sz w:val="17"/>
                <w:szCs w:val="17"/>
              </w:rPr>
              <w:t>科目编码</w:t>
            </w:r>
          </w:p>
        </w:tc>
        <w:tc>
          <w:tcPr>
            <w:tcW w:w="2161" w:type="dxa"/>
            <w:noWrap w:val="0"/>
          </w:tcPr>
          <w:p w14:paraId="52D73939">
            <w:pPr>
              <w:pStyle w:val="14"/>
              <w:jc w:val="center"/>
              <w:rPr>
                <w:vertAlign w:val="baseline"/>
              </w:rPr>
            </w:pPr>
            <w:r>
              <w:rPr>
                <w:sz w:val="17"/>
                <w:szCs w:val="17"/>
              </w:rPr>
              <w:t>部门（单位）代码</w:t>
            </w:r>
          </w:p>
        </w:tc>
        <w:tc>
          <w:tcPr>
            <w:tcW w:w="2162" w:type="dxa"/>
            <w:noWrap w:val="0"/>
          </w:tcPr>
          <w:p w14:paraId="7D0F63CA">
            <w:pPr>
              <w:pStyle w:val="14"/>
              <w:jc w:val="center"/>
              <w:rPr>
                <w:vertAlign w:val="baseline"/>
              </w:rPr>
            </w:pPr>
            <w:r>
              <w:rPr>
                <w:sz w:val="17"/>
                <w:szCs w:val="17"/>
              </w:rPr>
              <w:t>部门（单位）名称（功能分类科目名称）</w:t>
            </w:r>
          </w:p>
        </w:tc>
        <w:tc>
          <w:tcPr>
            <w:tcW w:w="2222" w:type="dxa"/>
            <w:noWrap w:val="0"/>
            <w:vAlign w:val="center"/>
          </w:tcPr>
          <w:p w14:paraId="311CDCC0">
            <w:pPr>
              <w:pStyle w:val="13"/>
              <w:spacing w:line="240" w:lineRule="auto"/>
              <w:ind w:firstLine="0"/>
              <w:jc w:val="center"/>
              <w:rPr>
                <w:vertAlign w:val="baseline"/>
              </w:rPr>
            </w:pPr>
            <w:r>
              <w:rPr>
                <w:sz w:val="17"/>
                <w:szCs w:val="17"/>
              </w:rPr>
              <w:t>合计</w:t>
            </w:r>
          </w:p>
        </w:tc>
        <w:tc>
          <w:tcPr>
            <w:tcW w:w="2161" w:type="dxa"/>
            <w:noWrap w:val="0"/>
            <w:vAlign w:val="center"/>
          </w:tcPr>
          <w:p w14:paraId="63A81E9E">
            <w:pPr>
              <w:pStyle w:val="13"/>
              <w:spacing w:line="240" w:lineRule="auto"/>
              <w:ind w:firstLine="0"/>
              <w:jc w:val="center"/>
              <w:rPr>
                <w:vertAlign w:val="baseline"/>
              </w:rPr>
            </w:pPr>
            <w:r>
              <w:rPr>
                <w:sz w:val="17"/>
                <w:szCs w:val="17"/>
              </w:rPr>
              <w:t>基本支出</w:t>
            </w:r>
          </w:p>
        </w:tc>
        <w:tc>
          <w:tcPr>
            <w:tcW w:w="2161" w:type="dxa"/>
            <w:noWrap w:val="0"/>
            <w:vAlign w:val="center"/>
          </w:tcPr>
          <w:p w14:paraId="68121D16">
            <w:pPr>
              <w:pStyle w:val="13"/>
              <w:spacing w:line="240" w:lineRule="auto"/>
              <w:ind w:firstLine="0"/>
              <w:jc w:val="center"/>
              <w:rPr>
                <w:vertAlign w:val="baseline"/>
              </w:rPr>
            </w:pPr>
            <w:r>
              <w:rPr>
                <w:sz w:val="17"/>
                <w:szCs w:val="17"/>
              </w:rPr>
              <w:t>项目支出</w:t>
            </w:r>
          </w:p>
        </w:tc>
        <w:tc>
          <w:tcPr>
            <w:tcW w:w="2163" w:type="dxa"/>
            <w:noWrap w:val="0"/>
            <w:vAlign w:val="center"/>
          </w:tcPr>
          <w:p w14:paraId="72D3AAD5">
            <w:pPr>
              <w:pStyle w:val="13"/>
              <w:spacing w:line="240" w:lineRule="auto"/>
              <w:ind w:firstLine="0"/>
              <w:jc w:val="center"/>
              <w:rPr>
                <w:vertAlign w:val="baseline"/>
              </w:rPr>
            </w:pPr>
            <w:r>
              <w:rPr>
                <w:sz w:val="17"/>
                <w:szCs w:val="17"/>
              </w:rPr>
              <w:t>结转下年支出</w:t>
            </w:r>
          </w:p>
        </w:tc>
      </w:tr>
      <w:tr w14:paraId="5D4A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768FF64C">
            <w:pPr>
              <w:pStyle w:val="13"/>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noWrap w:val="0"/>
            <w:vAlign w:val="center"/>
          </w:tcPr>
          <w:p w14:paraId="07454DCB">
            <w:pPr>
              <w:pStyle w:val="13"/>
              <w:spacing w:line="240" w:lineRule="auto"/>
              <w:ind w:firstLine="0"/>
              <w:jc w:val="left"/>
              <w:rPr>
                <w:b w:val="0"/>
                <w:bCs w:val="0"/>
                <w:vertAlign w:val="baseline"/>
              </w:rPr>
            </w:pPr>
          </w:p>
        </w:tc>
        <w:tc>
          <w:tcPr>
            <w:tcW w:w="2162" w:type="dxa"/>
            <w:noWrap w:val="0"/>
            <w:vAlign w:val="center"/>
          </w:tcPr>
          <w:p w14:paraId="6655940B">
            <w:pPr>
              <w:pStyle w:val="13"/>
              <w:spacing w:line="240" w:lineRule="auto"/>
              <w:ind w:firstLine="0"/>
              <w:jc w:val="left"/>
              <w:rPr>
                <w:b w:val="0"/>
                <w:bCs w:val="0"/>
                <w:vertAlign w:val="baseline"/>
              </w:rPr>
            </w:pPr>
            <w:r>
              <w:rPr>
                <w:rFonts w:hint="eastAsia"/>
                <w:b w:val="0"/>
                <w:bCs w:val="0"/>
                <w:sz w:val="17"/>
                <w:szCs w:val="17"/>
                <w:lang w:val="en-US" w:eastAsia="zh-CN"/>
              </w:rPr>
              <w:t>其他群众团体事务支出</w:t>
            </w:r>
          </w:p>
        </w:tc>
        <w:tc>
          <w:tcPr>
            <w:tcW w:w="2222" w:type="dxa"/>
            <w:noWrap w:val="0"/>
            <w:vAlign w:val="center"/>
          </w:tcPr>
          <w:p w14:paraId="358FC93E">
            <w:pPr>
              <w:pStyle w:val="13"/>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6743250F">
            <w:pPr>
              <w:pStyle w:val="13"/>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6F5DBF2C">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16FD84C0">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141F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5DF57510">
            <w:pPr>
              <w:pStyle w:val="13"/>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noWrap w:val="0"/>
            <w:vAlign w:val="center"/>
          </w:tcPr>
          <w:p w14:paraId="22EEE27E">
            <w:pPr>
              <w:pStyle w:val="13"/>
              <w:spacing w:line="240" w:lineRule="auto"/>
              <w:ind w:firstLine="0"/>
              <w:jc w:val="left"/>
              <w:rPr>
                <w:b w:val="0"/>
                <w:bCs w:val="0"/>
                <w:vertAlign w:val="baseline"/>
              </w:rPr>
            </w:pPr>
          </w:p>
        </w:tc>
        <w:tc>
          <w:tcPr>
            <w:tcW w:w="2162" w:type="dxa"/>
            <w:noWrap w:val="0"/>
            <w:vAlign w:val="center"/>
          </w:tcPr>
          <w:p w14:paraId="354E9471">
            <w:pPr>
              <w:pStyle w:val="13"/>
              <w:spacing w:line="240" w:lineRule="auto"/>
              <w:ind w:firstLine="0"/>
              <w:jc w:val="left"/>
              <w:rPr>
                <w:b w:val="0"/>
                <w:bCs w:val="0"/>
                <w:vertAlign w:val="baseline"/>
              </w:rPr>
            </w:pPr>
            <w:r>
              <w:rPr>
                <w:rFonts w:hint="eastAsia"/>
                <w:b w:val="0"/>
                <w:bCs w:val="0"/>
                <w:sz w:val="17"/>
                <w:szCs w:val="17"/>
                <w:lang w:val="en-US" w:eastAsia="zh-CN"/>
              </w:rPr>
              <w:t>机关事业单位基本养老保险缴费支出</w:t>
            </w:r>
          </w:p>
        </w:tc>
        <w:tc>
          <w:tcPr>
            <w:tcW w:w="2222" w:type="dxa"/>
            <w:noWrap w:val="0"/>
            <w:vAlign w:val="center"/>
          </w:tcPr>
          <w:p w14:paraId="5913FF52">
            <w:pPr>
              <w:pStyle w:val="13"/>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25086FE8">
            <w:pPr>
              <w:pStyle w:val="13"/>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5E1C2A90">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6D968AB9">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4E1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3FE87712">
            <w:pPr>
              <w:pStyle w:val="13"/>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noWrap w:val="0"/>
            <w:vAlign w:val="center"/>
          </w:tcPr>
          <w:p w14:paraId="004E094E">
            <w:pPr>
              <w:pStyle w:val="13"/>
              <w:spacing w:line="240" w:lineRule="auto"/>
              <w:ind w:firstLine="0"/>
              <w:jc w:val="left"/>
              <w:rPr>
                <w:b w:val="0"/>
                <w:bCs w:val="0"/>
                <w:vertAlign w:val="baseline"/>
              </w:rPr>
            </w:pPr>
          </w:p>
        </w:tc>
        <w:tc>
          <w:tcPr>
            <w:tcW w:w="2162" w:type="dxa"/>
            <w:noWrap w:val="0"/>
            <w:vAlign w:val="center"/>
          </w:tcPr>
          <w:p w14:paraId="4F757AE8">
            <w:pPr>
              <w:pStyle w:val="13"/>
              <w:spacing w:line="240" w:lineRule="auto"/>
              <w:ind w:firstLine="0"/>
              <w:jc w:val="left"/>
              <w:rPr>
                <w:b w:val="0"/>
                <w:bCs w:val="0"/>
                <w:vertAlign w:val="baseline"/>
              </w:rPr>
            </w:pPr>
            <w:r>
              <w:rPr>
                <w:rFonts w:hint="eastAsia"/>
                <w:b w:val="0"/>
                <w:bCs w:val="0"/>
                <w:sz w:val="17"/>
                <w:szCs w:val="17"/>
                <w:lang w:val="en-US" w:eastAsia="zh-CN"/>
              </w:rPr>
              <w:t>事业运行</w:t>
            </w:r>
          </w:p>
        </w:tc>
        <w:tc>
          <w:tcPr>
            <w:tcW w:w="2222" w:type="dxa"/>
            <w:noWrap w:val="0"/>
            <w:vAlign w:val="center"/>
          </w:tcPr>
          <w:p w14:paraId="3AB8681D">
            <w:pPr>
              <w:pStyle w:val="13"/>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74D6C1E2">
            <w:pPr>
              <w:pStyle w:val="13"/>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48F405F7">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2ECCF96E">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786B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698AB53C">
            <w:pPr>
              <w:pStyle w:val="13"/>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noWrap w:val="0"/>
            <w:vAlign w:val="center"/>
          </w:tcPr>
          <w:p w14:paraId="1608AA97">
            <w:pPr>
              <w:pStyle w:val="13"/>
              <w:spacing w:line="240" w:lineRule="auto"/>
              <w:ind w:firstLine="0"/>
              <w:jc w:val="left"/>
              <w:rPr>
                <w:b w:val="0"/>
                <w:bCs w:val="0"/>
                <w:vertAlign w:val="baseline"/>
              </w:rPr>
            </w:pPr>
          </w:p>
        </w:tc>
        <w:tc>
          <w:tcPr>
            <w:tcW w:w="2162" w:type="dxa"/>
            <w:noWrap w:val="0"/>
            <w:vAlign w:val="center"/>
          </w:tcPr>
          <w:p w14:paraId="150E7E53">
            <w:pPr>
              <w:pStyle w:val="13"/>
              <w:spacing w:line="240" w:lineRule="auto"/>
              <w:ind w:firstLine="0"/>
              <w:jc w:val="left"/>
              <w:rPr>
                <w:b w:val="0"/>
                <w:bCs w:val="0"/>
                <w:vertAlign w:val="baseline"/>
              </w:rPr>
            </w:pPr>
            <w:r>
              <w:rPr>
                <w:rFonts w:hint="eastAsia"/>
                <w:b w:val="0"/>
                <w:bCs w:val="0"/>
                <w:sz w:val="17"/>
                <w:szCs w:val="17"/>
                <w:lang w:val="en-US" w:eastAsia="zh-CN"/>
              </w:rPr>
              <w:t>住房公积金</w:t>
            </w:r>
          </w:p>
        </w:tc>
        <w:tc>
          <w:tcPr>
            <w:tcW w:w="2222" w:type="dxa"/>
            <w:noWrap w:val="0"/>
            <w:vAlign w:val="center"/>
          </w:tcPr>
          <w:p w14:paraId="0529853D">
            <w:pPr>
              <w:pStyle w:val="13"/>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6F05E225">
            <w:pPr>
              <w:pStyle w:val="13"/>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1849ED6E">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3B66593C">
            <w:pPr>
              <w:pStyle w:val="13"/>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6CC7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noWrap w:val="0"/>
          </w:tcPr>
          <w:p w14:paraId="7F72B0DA">
            <w:pPr>
              <w:pStyle w:val="14"/>
              <w:jc w:val="both"/>
              <w:rPr>
                <w:vertAlign w:val="baseline"/>
              </w:rPr>
            </w:pPr>
            <w:r>
              <w:t>注：本报表金额单位转换时可能存在四舍五入尾数误差</w:t>
            </w:r>
          </w:p>
        </w:tc>
      </w:tr>
    </w:tbl>
    <w:p w14:paraId="3F2695F4">
      <w:pPr>
        <w:pStyle w:val="14"/>
      </w:pPr>
    </w:p>
    <w:p w14:paraId="23B25607">
      <w:pPr>
        <w:pStyle w:val="14"/>
      </w:pPr>
    </w:p>
    <w:p w14:paraId="73CF0AEF">
      <w:pPr>
        <w:pStyle w:val="14"/>
      </w:pPr>
    </w:p>
    <w:p w14:paraId="0E61C99C">
      <w:pPr>
        <w:pStyle w:val="14"/>
      </w:pPr>
    </w:p>
    <w:p w14:paraId="0CB7A658">
      <w:pPr>
        <w:pStyle w:val="14"/>
      </w:pPr>
    </w:p>
    <w:p w14:paraId="35647A73">
      <w:pPr>
        <w:pStyle w:val="14"/>
      </w:pPr>
    </w:p>
    <w:p w14:paraId="57C42988">
      <w:pPr>
        <w:pStyle w:val="14"/>
      </w:pPr>
    </w:p>
    <w:p w14:paraId="15CB2653">
      <w:pPr>
        <w:pStyle w:val="14"/>
      </w:pPr>
    </w:p>
    <w:p w14:paraId="4FD21F1B">
      <w:pPr>
        <w:pStyle w:val="14"/>
      </w:pPr>
    </w:p>
    <w:p w14:paraId="3BFE722E">
      <w:pPr>
        <w:pStyle w:val="14"/>
      </w:pPr>
    </w:p>
    <w:p w14:paraId="3488E8BF">
      <w:pPr>
        <w:pStyle w:val="14"/>
      </w:pPr>
    </w:p>
    <w:p w14:paraId="57AEF1EE">
      <w:pPr>
        <w:pStyle w:val="14"/>
      </w:pPr>
    </w:p>
    <w:p w14:paraId="08690BDA">
      <w:pPr>
        <w:pStyle w:val="14"/>
      </w:pPr>
    </w:p>
    <w:p w14:paraId="08B3B099">
      <w:pPr>
        <w:pStyle w:val="14"/>
      </w:pPr>
    </w:p>
    <w:p w14:paraId="2B8658DB">
      <w:pPr>
        <w:pStyle w:val="14"/>
      </w:pPr>
    </w:p>
    <w:p w14:paraId="09BE8B0E">
      <w:pPr>
        <w:pStyle w:val="14"/>
      </w:pPr>
    </w:p>
    <w:p w14:paraId="3422CC90">
      <w:pPr>
        <w:pStyle w:val="14"/>
      </w:pPr>
    </w:p>
    <w:p w14:paraId="62CE4803">
      <w:pPr>
        <w:pStyle w:val="14"/>
      </w:pPr>
    </w:p>
    <w:p w14:paraId="575474C5">
      <w:pPr>
        <w:pStyle w:val="14"/>
      </w:pPr>
    </w:p>
    <w:p w14:paraId="635CA4BD">
      <w:pPr>
        <w:pStyle w:val="14"/>
      </w:pPr>
    </w:p>
    <w:p w14:paraId="33A67CE4">
      <w:pPr>
        <w:pStyle w:val="14"/>
      </w:pPr>
    </w:p>
    <w:p w14:paraId="0637E427">
      <w:pPr>
        <w:pStyle w:val="14"/>
        <w:jc w:val="center"/>
        <w:rPr>
          <w:sz w:val="28"/>
          <w:szCs w:val="28"/>
        </w:rPr>
      </w:pPr>
      <w:r>
        <w:rPr>
          <w:sz w:val="28"/>
          <w:szCs w:val="28"/>
        </w:rPr>
        <w:t>国有资本经营预算支出情况表</w:t>
      </w:r>
    </w:p>
    <w:p w14:paraId="0A5EECA1">
      <w:pPr>
        <w:pStyle w:val="14"/>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14:paraId="235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noWrap w:val="0"/>
          </w:tcPr>
          <w:p w14:paraId="60E0259B">
            <w:pPr>
              <w:pStyle w:val="14"/>
              <w:tabs>
                <w:tab w:val="left" w:pos="14213"/>
              </w:tabs>
              <w:ind w:left="101"/>
              <w:jc w:val="left"/>
            </w:pPr>
            <w:r>
              <w:t>单位名称：</w:t>
            </w:r>
            <w:r>
              <w:rPr>
                <w:rFonts w:hint="eastAsia"/>
                <w:lang w:eastAsia="zh-CN"/>
              </w:rPr>
              <w:t>环江毛南族自治县思恩镇扶贫站</w:t>
            </w:r>
            <w:r>
              <w:tab/>
            </w:r>
            <w:r>
              <w:t>单位：万元</w:t>
            </w:r>
          </w:p>
        </w:tc>
        <w:tc>
          <w:tcPr>
            <w:tcW w:w="2163" w:type="dxa"/>
            <w:tcBorders>
              <w:top w:val="nil"/>
              <w:left w:val="nil"/>
              <w:right w:val="nil"/>
            </w:tcBorders>
            <w:noWrap w:val="0"/>
          </w:tcPr>
          <w:p w14:paraId="18CCBFFA">
            <w:pPr>
              <w:pStyle w:val="14"/>
              <w:tabs>
                <w:tab w:val="left" w:pos="14213"/>
              </w:tabs>
              <w:ind w:left="101"/>
              <w:jc w:val="left"/>
            </w:pPr>
            <w:r>
              <w:rPr>
                <w:rFonts w:hint="eastAsia" w:ascii="宋体" w:hAnsi="宋体" w:eastAsia="宋体" w:cs="宋体"/>
                <w:sz w:val="17"/>
                <w:szCs w:val="17"/>
              </w:rPr>
              <w:t>单位：万元</w:t>
            </w:r>
          </w:p>
        </w:tc>
      </w:tr>
      <w:tr w14:paraId="0198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noWrap w:val="0"/>
          </w:tcPr>
          <w:p w14:paraId="6C7F20EC">
            <w:pPr>
              <w:pStyle w:val="14"/>
              <w:jc w:val="center"/>
              <w:rPr>
                <w:vertAlign w:val="baseline"/>
              </w:rPr>
            </w:pPr>
            <w:r>
              <w:rPr>
                <w:sz w:val="17"/>
                <w:szCs w:val="17"/>
              </w:rPr>
              <w:t>科目编码</w:t>
            </w:r>
          </w:p>
        </w:tc>
        <w:tc>
          <w:tcPr>
            <w:tcW w:w="2161" w:type="dxa"/>
            <w:vMerge w:val="restart"/>
            <w:noWrap w:val="0"/>
          </w:tcPr>
          <w:p w14:paraId="4CC70A92">
            <w:pPr>
              <w:pStyle w:val="14"/>
              <w:jc w:val="center"/>
              <w:rPr>
                <w:vertAlign w:val="baseline"/>
              </w:rPr>
            </w:pPr>
            <w:r>
              <w:rPr>
                <w:sz w:val="17"/>
                <w:szCs w:val="17"/>
              </w:rPr>
              <w:t>部门（单位）代码</w:t>
            </w:r>
          </w:p>
        </w:tc>
        <w:tc>
          <w:tcPr>
            <w:tcW w:w="2162" w:type="dxa"/>
            <w:vMerge w:val="restart"/>
            <w:noWrap w:val="0"/>
          </w:tcPr>
          <w:p w14:paraId="2B926E8B">
            <w:pPr>
              <w:pStyle w:val="14"/>
              <w:jc w:val="center"/>
              <w:rPr>
                <w:vertAlign w:val="baseline"/>
              </w:rPr>
            </w:pPr>
            <w:r>
              <w:rPr>
                <w:sz w:val="17"/>
                <w:szCs w:val="17"/>
              </w:rPr>
              <w:t>部门（单位）名称（功能分类科目名称）</w:t>
            </w:r>
          </w:p>
        </w:tc>
        <w:tc>
          <w:tcPr>
            <w:tcW w:w="2222" w:type="dxa"/>
            <w:noWrap w:val="0"/>
            <w:vAlign w:val="center"/>
          </w:tcPr>
          <w:p w14:paraId="798EBEDA">
            <w:pPr>
              <w:pStyle w:val="13"/>
              <w:spacing w:line="240" w:lineRule="auto"/>
              <w:ind w:firstLine="0"/>
              <w:jc w:val="center"/>
              <w:rPr>
                <w:vertAlign w:val="baseline"/>
              </w:rPr>
            </w:pPr>
            <w:r>
              <w:rPr>
                <w:sz w:val="17"/>
                <w:szCs w:val="17"/>
              </w:rPr>
              <w:t>合计</w:t>
            </w:r>
          </w:p>
        </w:tc>
        <w:tc>
          <w:tcPr>
            <w:tcW w:w="2161" w:type="dxa"/>
            <w:noWrap w:val="0"/>
            <w:vAlign w:val="center"/>
          </w:tcPr>
          <w:p w14:paraId="5F2ECB0C">
            <w:pPr>
              <w:pStyle w:val="13"/>
              <w:spacing w:line="240" w:lineRule="auto"/>
              <w:ind w:firstLine="0"/>
              <w:jc w:val="center"/>
              <w:rPr>
                <w:vertAlign w:val="baseline"/>
              </w:rPr>
            </w:pPr>
            <w:r>
              <w:rPr>
                <w:sz w:val="17"/>
                <w:szCs w:val="17"/>
              </w:rPr>
              <w:t>基本支出</w:t>
            </w:r>
          </w:p>
        </w:tc>
        <w:tc>
          <w:tcPr>
            <w:tcW w:w="2161" w:type="dxa"/>
            <w:noWrap w:val="0"/>
            <w:vAlign w:val="center"/>
          </w:tcPr>
          <w:p w14:paraId="525BE8D8">
            <w:pPr>
              <w:pStyle w:val="13"/>
              <w:spacing w:line="240" w:lineRule="auto"/>
              <w:ind w:firstLine="0"/>
              <w:jc w:val="center"/>
              <w:rPr>
                <w:vertAlign w:val="baseline"/>
              </w:rPr>
            </w:pPr>
            <w:r>
              <w:rPr>
                <w:sz w:val="17"/>
                <w:szCs w:val="17"/>
              </w:rPr>
              <w:t>项目支出</w:t>
            </w:r>
          </w:p>
        </w:tc>
        <w:tc>
          <w:tcPr>
            <w:tcW w:w="2163" w:type="dxa"/>
            <w:noWrap w:val="0"/>
            <w:vAlign w:val="center"/>
          </w:tcPr>
          <w:p w14:paraId="39585E33">
            <w:pPr>
              <w:pStyle w:val="13"/>
              <w:spacing w:line="240" w:lineRule="auto"/>
              <w:ind w:firstLine="0"/>
              <w:jc w:val="center"/>
              <w:rPr>
                <w:vertAlign w:val="baseline"/>
              </w:rPr>
            </w:pPr>
            <w:r>
              <w:rPr>
                <w:sz w:val="17"/>
                <w:szCs w:val="17"/>
              </w:rPr>
              <w:t>结转下年支出</w:t>
            </w:r>
          </w:p>
        </w:tc>
      </w:tr>
      <w:tr w14:paraId="0886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noWrap w:val="0"/>
          </w:tcPr>
          <w:p w14:paraId="08CE8F07">
            <w:pPr>
              <w:pStyle w:val="14"/>
              <w:jc w:val="both"/>
              <w:rPr>
                <w:vertAlign w:val="baseline"/>
              </w:rPr>
            </w:pPr>
          </w:p>
        </w:tc>
        <w:tc>
          <w:tcPr>
            <w:tcW w:w="2161" w:type="dxa"/>
            <w:vMerge w:val="continue"/>
            <w:noWrap w:val="0"/>
          </w:tcPr>
          <w:p w14:paraId="6A66BE80">
            <w:pPr>
              <w:pStyle w:val="14"/>
              <w:jc w:val="both"/>
              <w:rPr>
                <w:vertAlign w:val="baseline"/>
              </w:rPr>
            </w:pPr>
          </w:p>
        </w:tc>
        <w:tc>
          <w:tcPr>
            <w:tcW w:w="2162" w:type="dxa"/>
            <w:vMerge w:val="continue"/>
            <w:noWrap w:val="0"/>
          </w:tcPr>
          <w:p w14:paraId="44D03FD8">
            <w:pPr>
              <w:pStyle w:val="14"/>
              <w:jc w:val="both"/>
              <w:rPr>
                <w:vertAlign w:val="baseline"/>
              </w:rPr>
            </w:pPr>
          </w:p>
        </w:tc>
        <w:tc>
          <w:tcPr>
            <w:tcW w:w="2222" w:type="dxa"/>
            <w:noWrap w:val="0"/>
            <w:vAlign w:val="center"/>
          </w:tcPr>
          <w:p w14:paraId="419133D2">
            <w:pPr>
              <w:pStyle w:val="13"/>
              <w:spacing w:line="240" w:lineRule="auto"/>
              <w:ind w:firstLine="0"/>
              <w:jc w:val="center"/>
              <w:rPr>
                <w:vertAlign w:val="baseline"/>
              </w:rPr>
            </w:pPr>
            <w:r>
              <w:rPr>
                <w:rFonts w:ascii="Times New Roman" w:hAnsi="Times New Roman" w:eastAsia="Times New Roman" w:cs="Times New Roman"/>
                <w:b/>
                <w:bCs/>
                <w:sz w:val="17"/>
                <w:szCs w:val="17"/>
              </w:rPr>
              <w:t>1</w:t>
            </w:r>
          </w:p>
        </w:tc>
        <w:tc>
          <w:tcPr>
            <w:tcW w:w="2161" w:type="dxa"/>
            <w:noWrap w:val="0"/>
            <w:vAlign w:val="center"/>
          </w:tcPr>
          <w:p w14:paraId="6AC28B39">
            <w:pPr>
              <w:pStyle w:val="13"/>
              <w:spacing w:line="240" w:lineRule="auto"/>
              <w:ind w:firstLine="0"/>
              <w:jc w:val="center"/>
              <w:rPr>
                <w:vertAlign w:val="baseline"/>
              </w:rPr>
            </w:pPr>
            <w:r>
              <w:rPr>
                <w:rFonts w:ascii="Times New Roman" w:hAnsi="Times New Roman" w:eastAsia="Times New Roman" w:cs="Times New Roman"/>
                <w:b/>
                <w:bCs/>
                <w:sz w:val="17"/>
                <w:szCs w:val="17"/>
              </w:rPr>
              <w:t>2</w:t>
            </w:r>
          </w:p>
        </w:tc>
        <w:tc>
          <w:tcPr>
            <w:tcW w:w="2161" w:type="dxa"/>
            <w:noWrap w:val="0"/>
            <w:vAlign w:val="center"/>
          </w:tcPr>
          <w:p w14:paraId="71D4ABA1">
            <w:pPr>
              <w:pStyle w:val="13"/>
              <w:spacing w:line="240" w:lineRule="auto"/>
              <w:ind w:firstLine="0"/>
              <w:jc w:val="center"/>
              <w:rPr>
                <w:vertAlign w:val="baseline"/>
              </w:rPr>
            </w:pPr>
            <w:r>
              <w:rPr>
                <w:rFonts w:ascii="Times New Roman" w:hAnsi="Times New Roman" w:eastAsia="Times New Roman" w:cs="Times New Roman"/>
                <w:b/>
                <w:bCs/>
                <w:sz w:val="17"/>
                <w:szCs w:val="17"/>
              </w:rPr>
              <w:t>3</w:t>
            </w:r>
          </w:p>
        </w:tc>
        <w:tc>
          <w:tcPr>
            <w:tcW w:w="2163" w:type="dxa"/>
            <w:noWrap w:val="0"/>
            <w:vAlign w:val="center"/>
          </w:tcPr>
          <w:p w14:paraId="194AEDA7">
            <w:pPr>
              <w:pStyle w:val="13"/>
              <w:spacing w:line="240" w:lineRule="auto"/>
              <w:ind w:firstLine="0"/>
              <w:jc w:val="center"/>
              <w:rPr>
                <w:vertAlign w:val="baseline"/>
              </w:rPr>
            </w:pPr>
            <w:r>
              <w:rPr>
                <w:rFonts w:ascii="Times New Roman" w:hAnsi="Times New Roman" w:eastAsia="Times New Roman" w:cs="Times New Roman"/>
                <w:b/>
                <w:bCs/>
                <w:sz w:val="17"/>
                <w:szCs w:val="17"/>
              </w:rPr>
              <w:t>4</w:t>
            </w:r>
          </w:p>
        </w:tc>
      </w:tr>
      <w:tr w14:paraId="5671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noWrap w:val="0"/>
          </w:tcPr>
          <w:p w14:paraId="5B4D6479">
            <w:pPr>
              <w:jc w:val="left"/>
              <w:rPr>
                <w:vertAlign w:val="baseline"/>
              </w:rPr>
            </w:pPr>
          </w:p>
        </w:tc>
        <w:tc>
          <w:tcPr>
            <w:tcW w:w="2161" w:type="dxa"/>
            <w:noWrap w:val="0"/>
          </w:tcPr>
          <w:p w14:paraId="480503FA">
            <w:pPr>
              <w:jc w:val="left"/>
              <w:rPr>
                <w:vertAlign w:val="baseline"/>
              </w:rPr>
            </w:pPr>
          </w:p>
        </w:tc>
        <w:tc>
          <w:tcPr>
            <w:tcW w:w="2162" w:type="dxa"/>
            <w:noWrap w:val="0"/>
            <w:vAlign w:val="center"/>
          </w:tcPr>
          <w:p w14:paraId="5303DFF8">
            <w:pPr>
              <w:pStyle w:val="13"/>
              <w:spacing w:line="240" w:lineRule="auto"/>
              <w:ind w:firstLine="0"/>
              <w:jc w:val="left"/>
              <w:rPr>
                <w:vertAlign w:val="baseline"/>
              </w:rPr>
            </w:pPr>
            <w:r>
              <w:rPr>
                <w:sz w:val="17"/>
                <w:szCs w:val="17"/>
              </w:rPr>
              <w:t>合计</w:t>
            </w:r>
          </w:p>
        </w:tc>
        <w:tc>
          <w:tcPr>
            <w:tcW w:w="2222" w:type="dxa"/>
            <w:noWrap w:val="0"/>
            <w:vAlign w:val="center"/>
          </w:tcPr>
          <w:p w14:paraId="7ADDFB9B">
            <w:pPr>
              <w:pStyle w:val="13"/>
              <w:spacing w:line="240" w:lineRule="auto"/>
              <w:ind w:left="1700"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noWrap w:val="0"/>
            <w:vAlign w:val="center"/>
          </w:tcPr>
          <w:p w14:paraId="7E741F62">
            <w:pPr>
              <w:pStyle w:val="13"/>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noWrap w:val="0"/>
            <w:vAlign w:val="center"/>
          </w:tcPr>
          <w:p w14:paraId="1270341B">
            <w:pPr>
              <w:pStyle w:val="13"/>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noWrap w:val="0"/>
            <w:vAlign w:val="center"/>
          </w:tcPr>
          <w:p w14:paraId="39352F25">
            <w:pPr>
              <w:pStyle w:val="13"/>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14:paraId="361C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noWrap w:val="0"/>
          </w:tcPr>
          <w:p w14:paraId="699A401D">
            <w:pPr>
              <w:pStyle w:val="14"/>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rPr>
              <w:t>年</w:t>
            </w:r>
            <w:r>
              <w:t>度没有国有资本经营预算支出，故本表无数据</w:t>
            </w:r>
          </w:p>
          <w:p w14:paraId="09886BCA">
            <w:pPr>
              <w:pStyle w:val="14"/>
              <w:jc w:val="both"/>
              <w:rPr>
                <w:vertAlign w:val="baseline"/>
              </w:rPr>
            </w:pPr>
          </w:p>
        </w:tc>
      </w:tr>
    </w:tbl>
    <w:p w14:paraId="1D52C36E">
      <w:pPr>
        <w:pStyle w:val="14"/>
      </w:pPr>
    </w:p>
    <w:p w14:paraId="08D38F09">
      <w:r>
        <w:rPr/>
        <w:br w:type="page" w:clear="all"/>
      </w:r>
    </w:p>
    <w:p w14:paraId="60A63394">
      <w:pPr>
        <w:pStyle w:val="1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14:paraId="194F6E7C">
        <w:tblPrEx>
          <w:tblCellMar>
            <w:top w:w="0" w:type="dxa"/>
            <w:left w:w="10" w:type="dxa"/>
            <w:bottom w:w="0" w:type="dxa"/>
            <w:right w:w="10" w:type="dxa"/>
          </w:tblCellMar>
        </w:tblPrEx>
        <w:trPr>
          <w:trHeight w:val="346" w:hRule="exact"/>
        </w:trPr>
        <w:tc>
          <w:tcPr>
            <w:tcW w:w="9263" w:type="dxa"/>
            <w:gridSpan w:val="4"/>
            <w:shd w:val="clear" w:color="auto" w:fill="FFFFFF"/>
            <w:noWrap w:val="0"/>
          </w:tcPr>
          <w:p w14:paraId="6D7550D6">
            <w:pPr>
              <w:pStyle w:val="13"/>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环江毛南族自治县思恩镇扶贫站</w:t>
            </w:r>
          </w:p>
        </w:tc>
        <w:tc>
          <w:tcPr>
            <w:tcW w:w="6076" w:type="dxa"/>
            <w:shd w:val="clear" w:color="auto" w:fill="FFFFFF"/>
            <w:noWrap w:val="0"/>
          </w:tcPr>
          <w:p w14:paraId="14AD1CF2">
            <w:pPr>
              <w:pStyle w:val="13"/>
              <w:spacing w:line="240" w:lineRule="auto"/>
              <w:ind w:firstLine="4760"/>
              <w:jc w:val="left"/>
              <w:rPr>
                <w:rFonts w:hint="eastAsia" w:ascii="宋体" w:hAnsi="宋体" w:eastAsia="宋体" w:cs="宋体"/>
                <w:sz w:val="17"/>
                <w:szCs w:val="17"/>
              </w:rPr>
            </w:pPr>
            <w:r>
              <w:rPr>
                <w:rFonts w:hint="eastAsia" w:ascii="宋体" w:hAnsi="宋体" w:eastAsia="宋体" w:cs="宋体"/>
                <w:sz w:val="17"/>
                <w:szCs w:val="17"/>
              </w:rPr>
              <w:t>单位：万元</w:t>
            </w:r>
          </w:p>
        </w:tc>
      </w:tr>
      <w:tr w14:paraId="5B002BF3">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noWrap w:val="0"/>
            <w:vAlign w:val="center"/>
          </w:tcPr>
          <w:p w14:paraId="3EC8CD65">
            <w:pPr>
              <w:pStyle w:val="13"/>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rPr>
              <w:t>单位代码</w:t>
            </w:r>
          </w:p>
        </w:tc>
        <w:tc>
          <w:tcPr>
            <w:tcW w:w="2559" w:type="dxa"/>
            <w:tcBorders>
              <w:top w:val="single" w:color="auto" w:sz="4" w:space="0"/>
              <w:left w:val="single" w:color="auto" w:sz="4" w:space="0"/>
              <w:bottom w:val="single" w:color="auto" w:sz="4" w:space="0"/>
            </w:tcBorders>
            <w:shd w:val="clear" w:color="auto" w:fill="FFFFFF"/>
            <w:noWrap w:val="0"/>
            <w:vAlign w:val="center"/>
          </w:tcPr>
          <w:p w14:paraId="253BFDDD">
            <w:pPr>
              <w:pStyle w:val="13"/>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noWrap w:val="0"/>
            <w:vAlign w:val="center"/>
          </w:tcPr>
          <w:p w14:paraId="5A9CA3B6">
            <w:pPr>
              <w:pStyle w:val="13"/>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noWrap w:val="0"/>
            <w:vAlign w:val="center"/>
          </w:tcPr>
          <w:p w14:paraId="629260D0">
            <w:pPr>
              <w:pStyle w:val="13"/>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57CE5">
            <w:pPr>
              <w:pStyle w:val="13"/>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14:paraId="18020FD3">
      <w:pPr>
        <w:jc w:val="left"/>
        <w:rPr>
          <w:rFonts w:hint="eastAsia"/>
        </w:rPr>
      </w:pPr>
      <w:r>
        <w:t>注：本报表金额单位转换时可能存在四舍五入尾数误差。</w:t>
      </w:r>
    </w:p>
    <w:p w14:paraId="5F978B90">
      <w:pPr>
        <w:jc w:val="left"/>
        <w:rPr>
          <w:rFonts w:hint="eastAsia"/>
          <w:lang w:eastAsia="zh-CN"/>
        </w:rPr>
        <w:sectPr>
          <w:headerReference r:id="rId10" w:type="default"/>
          <w:footerReference r:id="rId11" w:type="default"/>
          <w:pgSz w:w="16840" w:h="11900"/>
          <w:pgMar w:top="2714" w:right="764" w:bottom="2714" w:left="735" w:header="2286" w:footer="1474" w:gutter="0"/>
          <w:cols w:space="720" w:num="1"/>
        </w:sectPr>
      </w:pPr>
    </w:p>
    <w:p w14:paraId="34960373">
      <w:pPr>
        <w:pStyle w:val="8"/>
        <w:keepNext/>
        <w:keepLines/>
        <w:spacing w:before="200" w:after="0"/>
        <w:jc w:val="center"/>
        <w:rPr>
          <w:sz w:val="40"/>
          <w:szCs w:val="40"/>
        </w:rPr>
      </w:pPr>
      <w:bookmarkStart w:id="31" w:name="bookmark94"/>
      <w:bookmarkStart w:id="32" w:name="bookmark95"/>
      <w:bookmarkStart w:id="33" w:name="bookmark96"/>
      <w:r>
        <w:rPr>
          <w:sz w:val="40"/>
          <w:szCs w:val="40"/>
        </w:rPr>
        <w:t>第四部分名词解释</w:t>
      </w:r>
      <w:bookmarkEnd w:id="31"/>
      <w:bookmarkEnd w:id="32"/>
      <w:bookmarkEnd w:id="33"/>
    </w:p>
    <w:p w14:paraId="3D181643">
      <w:pPr>
        <w:pStyle w:val="10"/>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14:paraId="70ACF82F">
      <w:pPr>
        <w:pStyle w:val="10"/>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14:paraId="1E426538">
      <w:pPr>
        <w:pStyle w:val="10"/>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14:paraId="09BCD1D7">
      <w:pPr>
        <w:pStyle w:val="10"/>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14:paraId="65E3CADA">
      <w:pPr>
        <w:pStyle w:val="10"/>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14:paraId="55520141">
      <w:pPr>
        <w:pStyle w:val="10"/>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14:paraId="05405D28">
      <w:pPr>
        <w:pStyle w:val="10"/>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14:paraId="7C0A7390">
      <w:pPr>
        <w:pStyle w:val="10"/>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14:paraId="2E6EBEA0">
      <w:pPr>
        <w:pStyle w:val="10"/>
        <w:spacing w:line="628" w:lineRule="exact"/>
        <w:ind w:firstLine="640"/>
        <w:jc w:val="left"/>
      </w:pPr>
      <w:bookmarkStart w:id="42" w:name="bookmark105"/>
      <w:r>
        <w:t>九</w:t>
      </w:r>
      <w:bookmarkEnd w:id="42"/>
      <w:r>
        <w:t>、基本支出：指为保障机构正常运转、完成日常工作任务而发生的人员支出和公用支出。</w:t>
      </w:r>
    </w:p>
    <w:p w14:paraId="25C1B9F9">
      <w:pPr>
        <w:pStyle w:val="10"/>
        <w:spacing w:line="628" w:lineRule="exact"/>
        <w:ind w:firstLine="640"/>
        <w:jc w:val="left"/>
      </w:pPr>
      <w:r>
        <w:t>十、项目支出：指在基本支出之外为完成特定行政任务和事业发展目标所发生的支出。</w:t>
      </w:r>
    </w:p>
    <w:p w14:paraId="7B8BA506">
      <w:pPr>
        <w:pStyle w:val="10"/>
        <w:spacing w:line="628" w:lineRule="exact"/>
        <w:ind w:firstLine="640"/>
        <w:jc w:val="left"/>
      </w:pPr>
      <w:r>
        <w:t>十一、经营支出：指事业单位在专业业务活动及其辅助活动之外开展非独立核算经营活动所发生的支出。</w:t>
      </w:r>
    </w:p>
    <w:p w14:paraId="49A927F0">
      <w:pPr>
        <w:pStyle w:val="10"/>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E1307CB">
      <w:pPr>
        <w:pStyle w:val="10"/>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2CDD59"/>
    <w:sectPr>
      <w:headerReference r:id="rId12" w:type="default"/>
      <w:footerReference r:id="rId13" w:type="default"/>
      <w:type w:val="continuous"/>
      <w:pgSz w:w="11900" w:h="16840" w:orient="landscape"/>
      <w:pgMar w:top="1302" w:right="1735" w:bottom="1568" w:left="1793" w:header="874" w:footer="10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DDD9">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D47570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dblS0AAAAAUBAAAPAAAAAAAAAAEAIAAAACIAAABkcnMv&#10;ZG93bnJldi54bWxQSwECFAAUAAAACACHTuJATKCMzAsCAAAXBAAADgAAAAAAAAABACAAAAAfAQAA&#10;ZHJzL2Uyb0RvYy54bWxQSwUGAAAAAAYABgBZAQAAnAUAAAAA&#10;">
              <v:fill on="f" focussize="0,0"/>
              <v:stroke on="f"/>
              <v:imagedata o:title=""/>
              <o:lock v:ext="edit" aspectratio="f"/>
              <v:textbox inset="0mm,0mm,0mm,0mm" style="mso-fit-shape-to-text:t;">
                <w:txbxContent>
                  <w:p w14:paraId="5D47570F">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3143">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 name="文本框 4"/>
              <wp:cNvGraphicFramePr/>
              <a:graphic xmlns:a="http://schemas.openxmlformats.org/drawingml/2006/main">
                <a:graphicData uri="http://schemas.microsoft.com/office/word/2010/wordprocessingShape">
                  <wps:wsp>
                    <wps:cNvSpPr/>
                    <wps:spPr bwMode="auto">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E0E395F">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11xCPZAAAABwEAAA8AAAAAAAAA&#10;AQAgAAAAIgAAAGRycy9kb3ducmV2LnhtbFBLAQIUABQAAAAIAIdO4kDF4ZomEAIAABcEAAAOAAAA&#10;AAAAAAEAIAAAACgBAABkcnMvZTJvRG9jLnhtbFBLBQYAAAAABgAGAFkBAACqBQAAAAA=&#10;">
              <v:fill on="f" focussize="0,0"/>
              <v:stroke on="f"/>
              <v:imagedata o:title=""/>
              <o:lock v:ext="edit" aspectratio="f"/>
              <v:textbox inset="0mm,0mm,0mm,0mm">
                <w:txbxContent>
                  <w:p w14:paraId="0E0E395F">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DD23">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 name="文本框 7"/>
              <wp:cNvGraphicFramePr/>
              <a:graphic xmlns:a="http://schemas.openxmlformats.org/drawingml/2006/main">
                <a:graphicData uri="http://schemas.microsoft.com/office/word/2010/wordprocessingShape">
                  <wps:wsp>
                    <wps:cNvSpPr/>
                    <wps:spPr bwMode="auto">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5067AEB">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0y47dgAAAAHAQAADwAAAAAAAAAB&#10;ACAAAAAiAAAAZHJzL2Rvd25yZXYueG1sUEsBAhQAFAAAAAgAh07iQJnWmpkQAgAAFwQAAA4AAAAA&#10;AAAAAQAgAAAAJwEAAGRycy9lMm9Eb2MueG1sUEsFBgAAAAAGAAYAWQEAAKkFAAAAAA==&#10;">
              <v:fill on="f" focussize="0,0"/>
              <v:stroke on="f"/>
              <v:imagedata o:title=""/>
              <o:lock v:ext="edit" aspectratio="f"/>
              <v:textbox inset="0mm,0mm,0mm,0mm">
                <w:txbxContent>
                  <w:p w14:paraId="75067AEB">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672D">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DCB4047">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dblS0AAAAAUBAAAPAAAAAAAAAAEAIAAAACIAAABkcnMv&#10;ZG93bnJldi54bWxQSwECFAAUAAAACACHTuJA4t3ynQsCAAAXBAAADgAAAAAAAAABACAAAAAfAQAA&#10;ZHJzL2Uyb0RvYy54bWxQSwUGAAAAAAYABgBZAQAAnAUAAAAA&#10;">
              <v:fill on="f" focussize="0,0"/>
              <v:stroke on="f"/>
              <v:imagedata o:title=""/>
              <o:lock v:ext="edit" aspectratio="f"/>
              <v:textbox inset="0mm,0mm,0mm,0mm" style="mso-fit-shape-to-text:t;">
                <w:txbxContent>
                  <w:p w14:paraId="4DCB4047">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FFE9">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63AC5CF">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XW5UtAAAAAFAQAADwAAAAAAAAABACAAAAAiAAAAZHJz&#10;L2Rvd25yZXYueG1sUEsBAhQAFAAAAAgAh07iQJ5GD7YMAgAAGAQAAA4AAAAAAAAAAQAgAAAAHwEA&#10;AGRycy9lMm9Eb2MueG1sUEsFBgAAAAAGAAYAWQEAAJ0FAAAAAA==&#10;">
              <v:fill on="f" focussize="0,0"/>
              <v:stroke on="f"/>
              <v:imagedata o:title=""/>
              <o:lock v:ext="edit" aspectratio="f"/>
              <v:textbox inset="0mm,0mm,0mm,0mm" style="mso-fit-shape-to-text:t;">
                <w:txbxContent>
                  <w:p w14:paraId="463AC5CF">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A7C6">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6D0B12F">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dblS0AAAAAUBAAAPAAAAAAAAAAEAIAAAACIAAABkcnMv&#10;ZG93bnJldi54bWxQSwECFAAUAAAACACHTuJAhfe6gwsCAAAYBAAADgAAAAAAAAABACAAAAAfAQAA&#10;ZHJzL2Uyb0RvYy54bWxQSwUGAAAAAAYABgBZAQAAnAUAAAAA&#10;">
              <v:fill on="f" focussize="0,0"/>
              <v:stroke on="f"/>
              <v:imagedata o:title=""/>
              <o:lock v:ext="edit" aspectratio="f"/>
              <v:textbox inset="0mm,0mm,0mm,0mm" style="mso-fit-shape-to-text:t;">
                <w:txbxContent>
                  <w:p w14:paraId="06D0B12F">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A02A">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 name="Shape 5"/>
              <wp:cNvGraphicFramePr/>
              <a:graphic xmlns:a="http://schemas.openxmlformats.org/drawingml/2006/main">
                <a:graphicData uri="http://schemas.microsoft.com/office/word/2010/wordprocessingShape">
                  <wps:wsp>
                    <wps:cNvSpPr/>
                    <wps:spPr bwMode="auto">
                      <a:xfrm>
                        <a:off x="0" y="0"/>
                        <a:ext cx="581025" cy="109855"/>
                      </a:xfrm>
                      <a:prstGeom prst="rect">
                        <a:avLst/>
                      </a:prstGeom>
                      <a:noFill/>
                    </wps:spPr>
                    <wps:txbx>
                      <w:txbxContent>
                        <w:p w14:paraId="164BC3D3">
                          <w:pPr>
                            <w:pStyle w:val="15"/>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wIsR2wAAAA0BAAAPAAAAAAAAAAEAIAAAACIAAABkcnMvZG93bnJldi54bWxQSwEC&#10;FAAUAAAACACHTuJAaaeB0vEBAADwAwAADgAAAAAAAAABACAAAAAqAQAAZHJzL2Uyb0RvYy54bWxQ&#10;SwUGAAAAAAYABgBZAQAAjQUAAAAA&#10;">
              <v:fill on="f" focussize="0,0"/>
              <v:stroke on="f"/>
              <v:imagedata o:title=""/>
              <o:lock v:ext="edit" aspectratio="f"/>
              <v:textbox inset="0mm,0mm,0mm,0mm" style="mso-fit-shape-to-text:t;">
                <w:txbxContent>
                  <w:p w14:paraId="164BC3D3">
                    <w:pPr>
                      <w:pStyle w:val="15"/>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A885">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 name="Shape 5"/>
              <wp:cNvGraphicFramePr/>
              <a:graphic xmlns:a="http://schemas.openxmlformats.org/drawingml/2006/main">
                <a:graphicData uri="http://schemas.microsoft.com/office/word/2010/wordprocessingShape">
                  <wps:wsp>
                    <wps:cNvSpPr/>
                    <wps:spPr bwMode="auto">
                      <a:xfrm>
                        <a:off x="0" y="0"/>
                        <a:ext cx="581025" cy="109855"/>
                      </a:xfrm>
                      <a:prstGeom prst="rect">
                        <a:avLst/>
                      </a:prstGeom>
                      <a:noFill/>
                    </wps:spPr>
                    <wps:txbx>
                      <w:txbxContent>
                        <w:p w14:paraId="302313C8">
                          <w:pPr>
                            <w:pStyle w:val="15"/>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MCLEdsAAAANAQAADwAAAAAAAAABACAAAAAiAAAAZHJzL2Rvd25yZXYueG1sUEsB&#10;AhQAFAAAAAgAh07iQCGfNY7yAQAA8AMAAA4AAAAAAAAAAQAgAAAAKgEAAGRycy9lMm9Eb2MueG1s&#10;UEsFBgAAAAAGAAYAWQEAAI4FAAAAAA==&#10;">
              <v:fill on="f" focussize="0,0"/>
              <v:stroke on="f"/>
              <v:imagedata o:title=""/>
              <o:lock v:ext="edit" aspectratio="f"/>
              <v:textbox inset="0mm,0mm,0mm,0mm" style="mso-fit-shape-to-text:t;">
                <w:txbxContent>
                  <w:p w14:paraId="302313C8">
                    <w:pPr>
                      <w:pStyle w:val="15"/>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752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8F2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F9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pPr>
        <w:ind w:left="0" w:firstLine="400"/>
      </w:pPr>
      <w:rPr>
        <w:rFonts w:hint="default"/>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B7071"/>
    <w:rsid w:val="7F1C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Times New Roman" w:hAnsi="Times New Roman" w:eastAsia="Times New Roman" w:cs="Times New Roman"/>
      <w:color w:val="000000"/>
      <w:sz w:val="24"/>
      <w:szCs w:val="24"/>
      <w:lang w:val="en-US" w:eastAsia="en-US" w:bidi="en-US"/>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Body text|5"/>
    <w:basedOn w:val="1"/>
    <w:qFormat/>
    <w:uiPriority w:val="0"/>
    <w:pPr>
      <w:jc w:val="center"/>
    </w:pPr>
    <w:rPr>
      <w:rFonts w:ascii="宋体" w:hAnsi="宋体" w:eastAsia="宋体" w:cs="宋体"/>
      <w:sz w:val="54"/>
      <w:szCs w:val="54"/>
      <w:lang w:val="zh-TW" w:eastAsia="zh-TW" w:bidi="zh-TW"/>
    </w:rPr>
  </w:style>
  <w:style w:type="paragraph" w:customStyle="1" w:styleId="8">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9">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10">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1">
    <w:name w:val="Body text|3"/>
    <w:basedOn w:val="1"/>
    <w:qFormat/>
    <w:uiPriority w:val="0"/>
    <w:pPr>
      <w:spacing w:after="140" w:line="336" w:lineRule="auto"/>
      <w:ind w:firstLine="370"/>
    </w:pPr>
    <w:rPr>
      <w:sz w:val="30"/>
      <w:szCs w:val="30"/>
      <w:lang w:val="zh-TW" w:eastAsia="zh-TW" w:bidi="zh-TW"/>
    </w:rPr>
  </w:style>
  <w:style w:type="paragraph" w:customStyle="1" w:styleId="12">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3">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4">
    <w:name w:val="Table caption|1"/>
    <w:basedOn w:val="1"/>
    <w:qFormat/>
    <w:uiPriority w:val="0"/>
    <w:rPr>
      <w:rFonts w:ascii="宋体" w:hAnsi="宋体" w:eastAsia="宋体" w:cs="宋体"/>
      <w:sz w:val="17"/>
      <w:szCs w:val="17"/>
      <w:lang w:val="zh-TW" w:eastAsia="zh-TW" w:bidi="zh-TW"/>
    </w:rPr>
  </w:style>
  <w:style w:type="paragraph" w:customStyle="1" w:styleId="15">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21.19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c4c0d5-f533-4679-9a87-2afe4a2a31c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0.19</c:v>
                </c:pt>
                <c:pt idx="1">
                  <c:v>2.5</c:v>
                </c:pt>
                <c:pt idx="2">
                  <c:v>16.28</c:v>
                </c:pt>
                <c:pt idx="3">
                  <c:v>2.22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cbfa8af-28e3-4bde-9981-a9f2af941a1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20.86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21.19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d6e14f-a45c-4147-9fc6-7aa426562fc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21.19</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0.67</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20.52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d69ee7-b0c3-492f-be3a-eb7ec8d6844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20.52</c:v>
                </c:pt>
                <c:pt idx="1">
                  <c:v>0.67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85f5cd-6183-4e53-a9c5-e80053387e8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2f0412-06f2-4f20-8047-dc80e6402d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5594</Words>
  <Characters>6946</Characters>
  <Lines>0</Lines>
  <Paragraphs>0</Paragraphs>
  <TotalTime>0</TotalTime>
  <ScaleCrop>false</ScaleCrop>
  <LinksUpToDate>false</LinksUpToDate>
  <CharactersWithSpaces>6948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2026-07-16T10:16:00Z</dcterms:created>
  <dc:creator>lenovo</dc:creator>
  <cp:lastModifiedBy>只是因为在人群中多看了你一眼</cp:lastModifiedBy>
  <dcterms:modified xsi:type="dcterms:W3CDTF">2026-07-16T10:22:30Z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eyJoZGlkIjoiNzNkOTlkNTQyZjIyY2U5ZDYxODIzZjA3NDZlZTc3MWIiLCJ1c2VySWQiOiI2MzY2MDY2MjIifQ==</vt:lpwstr>
  </property>
  <property fmtid="{D5CDD505-2E9C-101B-9397-08002B2CF9AE}" pid="4" name="ICV">
    <vt:lpwstr>96D0F2DDF54E487D8B6E7BC7AD854128_12</vt:lpwstr>
  </property>
</Properties>
</file>