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2C0B">
      <w:pPr>
        <w:jc w:val="left"/>
        <w:rPr>
          <w:rFonts w:ascii="仿宋" w:hAnsi="仿宋" w:eastAsia="仿宋" w:cs="仿宋"/>
          <w:sz w:val="32"/>
          <w:szCs w:val="32"/>
          <w:highlight w:val="none"/>
        </w:rPr>
      </w:pPr>
    </w:p>
    <w:p w14:paraId="1D05C8BA">
      <w:pPr>
        <w:jc w:val="left"/>
        <w:rPr>
          <w:rFonts w:ascii="仿宋" w:hAnsi="仿宋" w:eastAsia="仿宋" w:cs="仿宋"/>
          <w:sz w:val="32"/>
          <w:szCs w:val="32"/>
          <w:highlight w:val="none"/>
        </w:rPr>
      </w:pPr>
    </w:p>
    <w:p w14:paraId="65A1CF9B">
      <w:pPr>
        <w:jc w:val="left"/>
        <w:rPr>
          <w:rFonts w:ascii="仿宋" w:hAnsi="仿宋" w:eastAsia="仿宋" w:cs="仿宋"/>
          <w:sz w:val="32"/>
          <w:szCs w:val="32"/>
          <w:highlight w:val="none"/>
        </w:rPr>
      </w:pPr>
    </w:p>
    <w:p w14:paraId="45A0BA27">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中国共产党环江毛南族自治县纪律检查委员会/</w:t>
      </w:r>
    </w:p>
    <w:p w14:paraId="3A6147AF">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环江毛南族自治县监察委员会</w:t>
      </w:r>
    </w:p>
    <w:p w14:paraId="20136237">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6D3791EB">
      <w:pPr>
        <w:jc w:val="center"/>
        <w:rPr>
          <w:rFonts w:ascii="仿宋" w:hAnsi="仿宋" w:eastAsia="仿宋" w:cs="仿宋"/>
          <w:sz w:val="32"/>
          <w:szCs w:val="32"/>
          <w:highlight w:val="none"/>
        </w:rPr>
      </w:pPr>
    </w:p>
    <w:p w14:paraId="1C5BE28B">
      <w:pPr>
        <w:jc w:val="left"/>
        <w:rPr>
          <w:rFonts w:ascii="仿宋" w:hAnsi="仿宋" w:eastAsia="仿宋" w:cs="仿宋"/>
          <w:sz w:val="32"/>
          <w:szCs w:val="32"/>
          <w:highlight w:val="none"/>
        </w:rPr>
      </w:pPr>
      <w:bookmarkStart w:id="6" w:name="_GoBack"/>
      <w:bookmarkEnd w:id="6"/>
    </w:p>
    <w:p w14:paraId="08929907">
      <w:pPr>
        <w:jc w:val="left"/>
        <w:rPr>
          <w:rFonts w:ascii="仿宋" w:hAnsi="仿宋" w:eastAsia="仿宋" w:cs="仿宋"/>
          <w:sz w:val="32"/>
          <w:szCs w:val="32"/>
          <w:highlight w:val="none"/>
        </w:rPr>
      </w:pPr>
    </w:p>
    <w:p w14:paraId="2376F116">
      <w:pPr>
        <w:jc w:val="left"/>
        <w:rPr>
          <w:rFonts w:ascii="仿宋" w:hAnsi="仿宋" w:eastAsia="仿宋" w:cs="仿宋"/>
          <w:sz w:val="32"/>
          <w:szCs w:val="32"/>
          <w:highlight w:val="none"/>
        </w:rPr>
      </w:pPr>
    </w:p>
    <w:p w14:paraId="29A1469D">
      <w:pPr>
        <w:jc w:val="left"/>
        <w:rPr>
          <w:rFonts w:ascii="仿宋" w:hAnsi="仿宋" w:eastAsia="仿宋" w:cs="仿宋"/>
          <w:sz w:val="32"/>
          <w:szCs w:val="32"/>
          <w:highlight w:val="none"/>
        </w:rPr>
      </w:pPr>
    </w:p>
    <w:p w14:paraId="73125E36">
      <w:pPr>
        <w:jc w:val="left"/>
        <w:rPr>
          <w:rFonts w:ascii="仿宋" w:hAnsi="仿宋" w:eastAsia="仿宋" w:cs="仿宋"/>
          <w:sz w:val="32"/>
          <w:szCs w:val="32"/>
          <w:highlight w:val="none"/>
        </w:rPr>
      </w:pPr>
    </w:p>
    <w:p w14:paraId="2D014C88">
      <w:pPr>
        <w:jc w:val="left"/>
        <w:rPr>
          <w:rFonts w:ascii="仿宋" w:hAnsi="仿宋" w:eastAsia="仿宋" w:cs="仿宋"/>
          <w:sz w:val="32"/>
          <w:szCs w:val="32"/>
          <w:highlight w:val="none"/>
        </w:rPr>
      </w:pPr>
    </w:p>
    <w:p w14:paraId="79D99A0E">
      <w:pPr>
        <w:jc w:val="left"/>
        <w:rPr>
          <w:rFonts w:ascii="仿宋" w:hAnsi="仿宋" w:eastAsia="仿宋" w:cs="仿宋"/>
          <w:sz w:val="32"/>
          <w:szCs w:val="32"/>
          <w:highlight w:val="none"/>
        </w:rPr>
      </w:pPr>
    </w:p>
    <w:p w14:paraId="47B6A816">
      <w:pPr>
        <w:jc w:val="left"/>
        <w:rPr>
          <w:rFonts w:ascii="仿宋" w:hAnsi="仿宋" w:eastAsia="仿宋" w:cs="仿宋"/>
          <w:sz w:val="32"/>
          <w:szCs w:val="32"/>
          <w:highlight w:val="none"/>
        </w:rPr>
      </w:pPr>
    </w:p>
    <w:p w14:paraId="61948259">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14:paraId="50231C4D">
      <w:pPr>
        <w:rPr>
          <w:rFonts w:ascii="仿宋" w:hAnsi="仿宋" w:eastAsia="仿宋" w:cs="仿宋"/>
          <w:sz w:val="32"/>
          <w:szCs w:val="32"/>
          <w:highlight w:val="none"/>
        </w:rPr>
      </w:pPr>
      <w:r>
        <w:rPr>
          <w:rFonts w:ascii="仿宋" w:hAnsi="仿宋" w:eastAsia="仿宋" w:cs="仿宋"/>
          <w:sz w:val="32"/>
          <w:szCs w:val="32"/>
          <w:highlight w:val="none"/>
        </w:rPr>
        <w:br w:type="page"/>
      </w:r>
    </w:p>
    <w:p w14:paraId="08B44DE2">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26C7281A">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14:paraId="54BE687E">
      <w:pPr>
        <w:keepNext w:val="0"/>
        <w:keepLines w:val="0"/>
        <w:pageBreakBefore w:val="0"/>
        <w:widowControl w:val="0"/>
        <w:numPr>
          <w:ilvl w:val="0"/>
          <w:numId w:val="1"/>
        </w:numPr>
        <w:kinsoku/>
        <w:wordWrap/>
        <w:overflowPunct/>
        <w:topLinePunct w:val="0"/>
        <w:bidi w:val="0"/>
        <w:snapToGrid/>
        <w:spacing w:line="52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主要职能</w:t>
      </w:r>
    </w:p>
    <w:p w14:paraId="71B09BBC">
      <w:pPr>
        <w:keepNext w:val="0"/>
        <w:keepLines w:val="0"/>
        <w:pageBreakBefore w:val="0"/>
        <w:widowControl w:val="0"/>
        <w:numPr>
          <w:ilvl w:val="0"/>
          <w:numId w:val="1"/>
        </w:numPr>
        <w:kinsoku/>
        <w:wordWrap/>
        <w:overflowPunct/>
        <w:topLinePunct w:val="0"/>
        <w:bidi w:val="0"/>
        <w:snapToGrid/>
        <w:spacing w:line="520" w:lineRule="exact"/>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部门决算单位构成</w:t>
      </w:r>
    </w:p>
    <w:p w14:paraId="3976ACC2">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14:paraId="09C14767">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6D494843">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7A40CDC8">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02D4280B">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215FA13B">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1D39CD37">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5221FD06">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0671F9D4">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0863366D">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2DE32DB5">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14:paraId="570F9648">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14:paraId="7695DB06">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52751361">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14:paraId="1769861E">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14:paraId="70051BF9">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2A28CCDB">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112B1872">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1170EE42">
      <w:pPr>
        <w:keepNext w:val="0"/>
        <w:keepLines w:val="0"/>
        <w:pageBreakBefore w:val="0"/>
        <w:widowControl w:val="0"/>
        <w:kinsoku/>
        <w:wordWrap/>
        <w:overflowPunct/>
        <w:topLinePunct w:val="0"/>
        <w:bidi w:val="0"/>
        <w:snapToGrid/>
        <w:spacing w:line="520" w:lineRule="exact"/>
        <w:jc w:val="left"/>
        <w:textAlignment w:val="auto"/>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2526ABB7">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5F83DEC7">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01B6D50B">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14:paraId="7895C5E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4FEB9E8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环江毛南族自治县纪律检查委员会与环江毛南族自治县监察委员会合署办公，实行一套工作机构、两个机关名称，履行党的纪律检查和国家监察两项职责。自治县纪委监委接受自治县党委和河池市纪委监委的双重领导，由自治县纪委监委对自治县党委和河池市纪委监委负责。主要职责是：</w:t>
      </w:r>
    </w:p>
    <w:p w14:paraId="5A363B8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（一）主管全县的纪律检查工作。</w:t>
      </w:r>
    </w:p>
    <w:p w14:paraId="21B7922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（二）依照党的章程和其他党内法规履行监督、执纪、问责职责。</w:t>
      </w:r>
    </w:p>
    <w:p w14:paraId="3149C26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（三）在自治县党委领导下，配合自治县党委巡察工作领导小组组织开展巡察工作。</w:t>
      </w:r>
    </w:p>
    <w:p w14:paraId="23DD22A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（四）负责全县监察工作。</w:t>
      </w:r>
    </w:p>
    <w:p w14:paraId="31EE462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（五）依照法律规定履行监督、调查、处置职责。</w:t>
      </w:r>
    </w:p>
    <w:p w14:paraId="6BDD097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（六）负责组织协调全面从严治党、党风廉政建设和反腐败宣传教育工作。</w:t>
      </w:r>
    </w:p>
    <w:p w14:paraId="0EFCFC5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（七）负责综合分析全面从严治党、党风廉政建设和反腐败工作情况等。</w:t>
      </w:r>
    </w:p>
    <w:p w14:paraId="46D9EE0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（八）做好纪检监察干部的管理工作；组织和指导全县纪检、监察系统干部的培训工作。</w:t>
      </w:r>
    </w:p>
    <w:p w14:paraId="354C610A">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 w:hAnsi="仿宋" w:eastAsia="仿宋" w:cs="仿宋"/>
          <w:sz w:val="32"/>
          <w:szCs w:val="32"/>
          <w:highlight w:val="none"/>
          <w:lang w:eastAsia="zh-CN"/>
        </w:rPr>
      </w:pPr>
      <w:r>
        <w:rPr>
          <w:rFonts w:hint="eastAsia" w:ascii="仿宋_GB2312" w:hAnsi="仿宋_GB2312" w:eastAsia="仿宋_GB2312" w:cs="仿宋_GB2312"/>
          <w:kern w:val="2"/>
          <w:sz w:val="32"/>
          <w:szCs w:val="32"/>
        </w:rPr>
        <w:t>（九）完成自治县党委和自治区、市纪委监委交办的其他事项。</w:t>
      </w:r>
    </w:p>
    <w:p w14:paraId="6A3440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44F54F1D">
      <w:pPr>
        <w:pStyle w:val="6"/>
        <w:keepNext w:val="0"/>
        <w:keepLines w:val="0"/>
        <w:pageBreakBefore w:val="0"/>
        <w:widowControl w:val="0"/>
        <w:shd w:val="clear" w:color="auto" w:fill="FFFFFF"/>
        <w:kinsoku/>
        <w:wordWrap/>
        <w:overflowPunct/>
        <w:topLinePunct w:val="0"/>
        <w:autoSpaceDE/>
        <w:autoSpaceDN/>
        <w:bidi w:val="0"/>
        <w:adjustRightInd/>
        <w:snapToGrid/>
        <w:spacing w:before="156" w:beforeLines="50" w:beforeAutospacing="0" w:after="0" w:afterAutospacing="0" w:line="600" w:lineRule="exact"/>
        <w:ind w:firstLine="72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1、单位构成情况</w:t>
      </w:r>
    </w:p>
    <w:p w14:paraId="21A940A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（一）办公室</w:t>
      </w:r>
    </w:p>
    <w:p w14:paraId="68D78ED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（二）预防宣教室</w:t>
      </w:r>
    </w:p>
    <w:p w14:paraId="634AE54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（三）党风政风监督室</w:t>
      </w:r>
    </w:p>
    <w:p w14:paraId="3D856D8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（四）案件审理室</w:t>
      </w:r>
    </w:p>
    <w:p w14:paraId="0E54078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（五）信访室（举报中心）</w:t>
      </w:r>
    </w:p>
    <w:p w14:paraId="59D49B4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（六）案管室</w:t>
      </w:r>
    </w:p>
    <w:p w14:paraId="777F1DC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（七）第一纪检监察室</w:t>
      </w:r>
    </w:p>
    <w:p w14:paraId="62CA142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（八）第二纪检监察室</w:t>
      </w:r>
    </w:p>
    <w:p w14:paraId="317A375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（九）第三纪检监察室</w:t>
      </w:r>
    </w:p>
    <w:p w14:paraId="1AF6767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（十）第四纪检监察室</w:t>
      </w:r>
    </w:p>
    <w:p w14:paraId="2601385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（十一）第五纪检监察室</w:t>
      </w:r>
    </w:p>
    <w:p w14:paraId="0BDBCEE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十二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各派驻组</w:t>
      </w:r>
    </w:p>
    <w:p w14:paraId="5AC4E53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2、人员构成情况。</w:t>
      </w:r>
    </w:p>
    <w:p w14:paraId="1B68714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720"/>
        <w:textAlignment w:val="auto"/>
        <w:rPr>
          <w:rFonts w:ascii="仿宋" w:hAnsi="仿宋" w:eastAsia="仿宋" w:cs="仿宋"/>
          <w:sz w:val="32"/>
          <w:szCs w:val="32"/>
          <w:highlight w:val="none"/>
        </w:rPr>
      </w:pPr>
      <w:r>
        <w:rPr>
          <w:rFonts w:hint="eastAsia" w:ascii="仿宋_GB2312" w:hAnsi="仿宋_GB2312" w:eastAsia="仿宋_GB2312" w:cs="仿宋_GB2312"/>
          <w:kern w:val="2"/>
          <w:sz w:val="32"/>
          <w:szCs w:val="32"/>
        </w:rPr>
        <w:t>环江县纪委监委人员编制总数为</w:t>
      </w:r>
      <w:r>
        <w:rPr>
          <w:rFonts w:hint="eastAsia" w:ascii="仿宋_GB2312" w:hAnsi="仿宋_GB2312" w:eastAsia="仿宋_GB2312" w:cs="仿宋_GB2312"/>
          <w:kern w:val="2"/>
          <w:sz w:val="32"/>
          <w:szCs w:val="32"/>
          <w:lang w:val="en-US" w:eastAsia="zh-CN"/>
        </w:rPr>
        <w:t>97</w:t>
      </w:r>
      <w:r>
        <w:rPr>
          <w:rFonts w:hint="eastAsia" w:ascii="仿宋_GB2312" w:hAnsi="仿宋_GB2312" w:eastAsia="仿宋_GB2312" w:cs="仿宋_GB2312"/>
          <w:kern w:val="2"/>
          <w:sz w:val="32"/>
          <w:szCs w:val="32"/>
        </w:rPr>
        <w:t>人，其中行政编制8</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人，事业编制</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人，机关后勤服务中心聘用人员控制数1人。编外在职实有人数1人，202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底，实有在职在编人数8</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人，其中行政编制人员</w:t>
      </w:r>
      <w:r>
        <w:rPr>
          <w:rFonts w:hint="eastAsia" w:ascii="仿宋_GB2312" w:hAnsi="仿宋_GB2312" w:eastAsia="仿宋_GB2312" w:cs="仿宋_GB2312"/>
          <w:kern w:val="2"/>
          <w:sz w:val="32"/>
          <w:szCs w:val="32"/>
          <w:lang w:val="en-US" w:eastAsia="zh-CN"/>
        </w:rPr>
        <w:t>82</w:t>
      </w:r>
      <w:r>
        <w:rPr>
          <w:rFonts w:hint="eastAsia" w:ascii="仿宋_GB2312" w:hAnsi="仿宋_GB2312" w:eastAsia="仿宋_GB2312" w:cs="仿宋_GB2312"/>
          <w:kern w:val="2"/>
          <w:sz w:val="32"/>
          <w:szCs w:val="32"/>
        </w:rPr>
        <w:t>人，机关后勤人员1人，事业编2人，遗属人员</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人，独生子女人数</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人。</w:t>
      </w:r>
    </w:p>
    <w:p w14:paraId="3C4B88A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highlight w:val="none"/>
          <w:lang w:val="en-US" w:eastAsia="zh-CN"/>
        </w:rPr>
        <w:sectPr>
          <w:footerReference r:id="rId5" w:type="default"/>
          <w:pgSz w:w="11906" w:h="16838"/>
          <w:pgMar w:top="1984" w:right="1417" w:bottom="1417" w:left="1417" w:header="851" w:footer="992" w:gutter="0"/>
          <w:cols w:space="0" w:num="1"/>
          <w:rtlGutter w:val="0"/>
          <w:docGrid w:type="lines" w:linePitch="312" w:charSpace="0"/>
        </w:sectPr>
      </w:pPr>
    </w:p>
    <w:p w14:paraId="20234FE1">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tbl>
      <w:tblPr>
        <w:tblStyle w:val="7"/>
        <w:tblW w:w="13940" w:type="dxa"/>
        <w:tblInd w:w="96" w:type="dxa"/>
        <w:tblLayout w:type="fixed"/>
        <w:tblCellMar>
          <w:top w:w="0" w:type="dxa"/>
          <w:left w:w="108" w:type="dxa"/>
          <w:bottom w:w="0" w:type="dxa"/>
          <w:right w:w="108" w:type="dxa"/>
        </w:tblCellMar>
      </w:tblPr>
      <w:tblGrid>
        <w:gridCol w:w="3129"/>
        <w:gridCol w:w="1807"/>
        <w:gridCol w:w="2231"/>
        <w:gridCol w:w="3327"/>
        <w:gridCol w:w="1544"/>
        <w:gridCol w:w="1902"/>
      </w:tblGrid>
      <w:tr w14:paraId="7EB7B81C">
        <w:tblPrEx>
          <w:tblCellMar>
            <w:top w:w="0" w:type="dxa"/>
            <w:left w:w="108" w:type="dxa"/>
            <w:bottom w:w="0" w:type="dxa"/>
            <w:right w:w="108" w:type="dxa"/>
          </w:tblCellMar>
        </w:tblPrEx>
        <w:trPr>
          <w:trHeight w:val="621" w:hRule="atLeast"/>
        </w:trPr>
        <w:tc>
          <w:tcPr>
            <w:tcW w:w="13940" w:type="dxa"/>
            <w:gridSpan w:val="6"/>
            <w:tcBorders>
              <w:top w:val="nil"/>
              <w:left w:val="nil"/>
              <w:bottom w:val="nil"/>
              <w:right w:val="nil"/>
            </w:tcBorders>
            <w:shd w:val="clear" w:color="auto" w:fill="auto"/>
            <w:noWrap/>
            <w:vAlign w:val="bottom"/>
          </w:tcPr>
          <w:p w14:paraId="31446EAF">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14A2747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716F9CD4">
        <w:tblPrEx>
          <w:tblCellMar>
            <w:top w:w="0" w:type="dxa"/>
            <w:left w:w="108" w:type="dxa"/>
            <w:bottom w:w="0" w:type="dxa"/>
            <w:right w:w="108" w:type="dxa"/>
          </w:tblCellMar>
        </w:tblPrEx>
        <w:trPr>
          <w:trHeight w:val="301" w:hRule="atLeast"/>
        </w:trPr>
        <w:tc>
          <w:tcPr>
            <w:tcW w:w="3129" w:type="dxa"/>
            <w:tcBorders>
              <w:top w:val="nil"/>
              <w:left w:val="nil"/>
              <w:bottom w:val="nil"/>
              <w:right w:val="nil"/>
            </w:tcBorders>
            <w:shd w:val="clear" w:color="auto" w:fill="auto"/>
            <w:noWrap/>
            <w:vAlign w:val="bottom"/>
          </w:tcPr>
          <w:p w14:paraId="74D9621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7" w:type="dxa"/>
            <w:tcBorders>
              <w:top w:val="nil"/>
              <w:left w:val="nil"/>
              <w:bottom w:val="nil"/>
              <w:right w:val="nil"/>
            </w:tcBorders>
            <w:shd w:val="clear" w:color="auto" w:fill="auto"/>
            <w:noWrap/>
            <w:vAlign w:val="bottom"/>
          </w:tcPr>
          <w:p w14:paraId="586010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5175D69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27" w:type="dxa"/>
            <w:tcBorders>
              <w:top w:val="nil"/>
              <w:left w:val="nil"/>
              <w:bottom w:val="nil"/>
              <w:right w:val="nil"/>
            </w:tcBorders>
            <w:shd w:val="clear" w:color="auto" w:fill="auto"/>
            <w:noWrap/>
            <w:vAlign w:val="bottom"/>
          </w:tcPr>
          <w:p w14:paraId="5648C3D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4" w:type="dxa"/>
            <w:tcBorders>
              <w:top w:val="nil"/>
              <w:left w:val="nil"/>
              <w:bottom w:val="nil"/>
              <w:right w:val="nil"/>
            </w:tcBorders>
            <w:shd w:val="clear" w:color="auto" w:fill="auto"/>
            <w:noWrap/>
            <w:vAlign w:val="bottom"/>
          </w:tcPr>
          <w:p w14:paraId="68E33C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51F89AC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5FEDE11C">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037FFCB8">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327" w:type="dxa"/>
            <w:tcBorders>
              <w:top w:val="nil"/>
              <w:left w:val="nil"/>
              <w:bottom w:val="single" w:color="auto" w:sz="4" w:space="0"/>
              <w:right w:val="nil"/>
            </w:tcBorders>
            <w:shd w:val="clear" w:color="auto" w:fill="auto"/>
            <w:noWrap/>
            <w:vAlign w:val="bottom"/>
          </w:tcPr>
          <w:p w14:paraId="695615F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4" w:type="dxa"/>
            <w:tcBorders>
              <w:top w:val="nil"/>
              <w:left w:val="nil"/>
              <w:bottom w:val="single" w:color="auto" w:sz="4" w:space="0"/>
              <w:right w:val="nil"/>
            </w:tcBorders>
            <w:shd w:val="clear" w:color="auto" w:fill="auto"/>
            <w:noWrap/>
            <w:vAlign w:val="bottom"/>
          </w:tcPr>
          <w:p w14:paraId="4728171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1BDD885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322F18C">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C0C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5B6F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3085AA04">
        <w:tblPrEx>
          <w:tblCellMar>
            <w:top w:w="0" w:type="dxa"/>
            <w:left w:w="108" w:type="dxa"/>
            <w:bottom w:w="0" w:type="dxa"/>
            <w:right w:w="108" w:type="dxa"/>
          </w:tblCellMar>
        </w:tblPrEx>
        <w:trPr>
          <w:trHeight w:val="315"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3A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37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D1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72D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AE3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E6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4F428524">
        <w:tblPrEx>
          <w:tblCellMar>
            <w:top w:w="0" w:type="dxa"/>
            <w:left w:w="108" w:type="dxa"/>
            <w:bottom w:w="0" w:type="dxa"/>
            <w:right w:w="108" w:type="dxa"/>
          </w:tblCellMar>
        </w:tblPrEx>
        <w:trPr>
          <w:trHeight w:val="315"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FC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C80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9B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5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DA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C0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5DCA0912">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BC71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F5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9DF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5B4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0ED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6C9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1254.93</w:t>
            </w:r>
          </w:p>
        </w:tc>
      </w:tr>
      <w:tr w14:paraId="3E53E23D">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A40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80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40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87C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8B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986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B6F9F1">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5CC4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B0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B7E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4A0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EA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AD8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66F7FB2">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0911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5B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D18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E69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3E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987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2A25D9F">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0B425">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1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995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1C6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E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994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34F5C480">
        <w:tblPrEx>
          <w:tblCellMar>
            <w:top w:w="0" w:type="dxa"/>
            <w:left w:w="108" w:type="dxa"/>
            <w:bottom w:w="0" w:type="dxa"/>
            <w:right w:w="108" w:type="dxa"/>
          </w:tblCellMar>
        </w:tblPrEx>
        <w:trPr>
          <w:trHeight w:val="90"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0AB5F">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991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D74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1B7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CB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97F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CA506AA">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5193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085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C7B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A4B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46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E50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0BDA345">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521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D26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763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602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16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D17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132.32</w:t>
            </w:r>
          </w:p>
        </w:tc>
      </w:tr>
      <w:tr w14:paraId="11C30E71">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C229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2D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7CF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3F7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E1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A83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2E6FA22D">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6031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02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622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12C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57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5C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9645C70">
        <w:tblPrEx>
          <w:tblCellMar>
            <w:top w:w="0" w:type="dxa"/>
            <w:left w:w="108" w:type="dxa"/>
            <w:bottom w:w="0" w:type="dxa"/>
            <w:right w:w="108" w:type="dxa"/>
          </w:tblCellMar>
        </w:tblPrEx>
        <w:trPr>
          <w:trHeight w:val="90"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4A54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3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B52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43D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2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D1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24BDA7E">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4E57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4A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22C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C3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5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46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132BA244">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7B46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7B8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D8E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368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5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625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B80CE3">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0712D">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7D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5F6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14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250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262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3B1772A">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2D4E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54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A01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2C0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84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7F2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FB1556">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D471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BA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EEC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370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D9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BA8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D3AEF42">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25E48">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3B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85C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993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D6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0DB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622FAF2">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51E0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0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D4C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E09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E6F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060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F88FA9">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A1BA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39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B4F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C13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82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F2C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100.25</w:t>
            </w:r>
          </w:p>
        </w:tc>
      </w:tr>
      <w:tr w14:paraId="44D9743A">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8EF4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F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3CB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B00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1C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AA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11FD1C0">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33BF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2B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5F9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969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12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CA5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01B90AE">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8FCC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4D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03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DC5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99F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976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888B3A5">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087E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D7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9A1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EC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51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48C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242.57</w:t>
            </w:r>
          </w:p>
        </w:tc>
      </w:tr>
      <w:tr w14:paraId="2790E04B">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1673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94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79C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220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68E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D58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F13FAFB">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454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778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725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99E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B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347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0B08ED9">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4753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F8A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273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846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302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A11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3A52191">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59D2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B8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801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3D2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4B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92B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1730.07</w:t>
            </w:r>
          </w:p>
        </w:tc>
      </w:tr>
      <w:tr w14:paraId="451B0D38">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D831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3E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204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ED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E5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55C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01DD5DA">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18E2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D7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F5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6CE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AD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9F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65D85A5C">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9752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4E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473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FF6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B2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52B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C95A83">
        <w:tblPrEx>
          <w:tblCellMar>
            <w:top w:w="0" w:type="dxa"/>
            <w:left w:w="108" w:type="dxa"/>
            <w:bottom w:w="0" w:type="dxa"/>
            <w:right w:w="108" w:type="dxa"/>
          </w:tblCellMar>
        </w:tblPrEx>
        <w:trPr>
          <w:trHeight w:val="334" w:hRule="atLeast"/>
        </w:trPr>
        <w:tc>
          <w:tcPr>
            <w:tcW w:w="3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234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2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904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c>
          <w:tcPr>
            <w:tcW w:w="3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970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2B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B27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1730.07</w:t>
            </w:r>
          </w:p>
        </w:tc>
      </w:tr>
    </w:tbl>
    <w:p w14:paraId="22854834">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4341" w:type="dxa"/>
        <w:tblInd w:w="-285" w:type="dxa"/>
        <w:tblLayout w:type="fixed"/>
        <w:tblCellMar>
          <w:top w:w="0" w:type="dxa"/>
          <w:left w:w="108" w:type="dxa"/>
          <w:bottom w:w="0" w:type="dxa"/>
          <w:right w:w="108" w:type="dxa"/>
        </w:tblCellMar>
      </w:tblPr>
      <w:tblGrid>
        <w:gridCol w:w="1410"/>
        <w:gridCol w:w="1933"/>
        <w:gridCol w:w="236"/>
        <w:gridCol w:w="236"/>
        <w:gridCol w:w="325"/>
        <w:gridCol w:w="1719"/>
        <w:gridCol w:w="1836"/>
        <w:gridCol w:w="990"/>
        <w:gridCol w:w="1467"/>
        <w:gridCol w:w="1480"/>
        <w:gridCol w:w="1440"/>
        <w:gridCol w:w="1269"/>
      </w:tblGrid>
      <w:tr w14:paraId="4DFF55AA">
        <w:trPr>
          <w:trHeight w:val="471" w:hRule="atLeast"/>
        </w:trPr>
        <w:tc>
          <w:tcPr>
            <w:tcW w:w="14341" w:type="dxa"/>
            <w:gridSpan w:val="12"/>
            <w:tcBorders>
              <w:top w:val="nil"/>
              <w:left w:val="nil"/>
              <w:bottom w:val="nil"/>
              <w:right w:val="nil"/>
            </w:tcBorders>
            <w:shd w:val="clear" w:color="auto" w:fill="auto"/>
            <w:noWrap/>
            <w:vAlign w:val="bottom"/>
          </w:tcPr>
          <w:p w14:paraId="47F09D0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348F6E89">
            <w:pPr>
              <w:keepNext w:val="0"/>
              <w:keepLines w:val="0"/>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058E6279">
        <w:tblPrEx>
          <w:tblCellMar>
            <w:top w:w="0" w:type="dxa"/>
            <w:left w:w="108" w:type="dxa"/>
            <w:bottom w:w="0" w:type="dxa"/>
            <w:right w:w="108" w:type="dxa"/>
          </w:tblCellMar>
        </w:tblPrEx>
        <w:trPr>
          <w:trHeight w:val="317" w:hRule="atLeast"/>
        </w:trPr>
        <w:tc>
          <w:tcPr>
            <w:tcW w:w="3343" w:type="dxa"/>
            <w:gridSpan w:val="2"/>
            <w:tcBorders>
              <w:top w:val="nil"/>
              <w:left w:val="nil"/>
              <w:bottom w:val="nil"/>
              <w:right w:val="nil"/>
            </w:tcBorders>
            <w:shd w:val="clear" w:color="auto" w:fill="auto"/>
            <w:noWrap/>
            <w:vAlign w:val="bottom"/>
          </w:tcPr>
          <w:p w14:paraId="239FC7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5D552A7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7402EA1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5" w:type="dxa"/>
            <w:tcBorders>
              <w:top w:val="nil"/>
              <w:left w:val="nil"/>
              <w:bottom w:val="nil"/>
              <w:right w:val="nil"/>
            </w:tcBorders>
            <w:shd w:val="clear" w:color="auto" w:fill="auto"/>
            <w:noWrap/>
            <w:vAlign w:val="bottom"/>
          </w:tcPr>
          <w:p w14:paraId="4FE1743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19" w:type="dxa"/>
            <w:tcBorders>
              <w:top w:val="nil"/>
              <w:left w:val="nil"/>
              <w:bottom w:val="nil"/>
              <w:right w:val="nil"/>
            </w:tcBorders>
            <w:shd w:val="clear" w:color="auto" w:fill="auto"/>
            <w:noWrap/>
            <w:vAlign w:val="bottom"/>
          </w:tcPr>
          <w:p w14:paraId="19B9B5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6" w:type="dxa"/>
            <w:tcBorders>
              <w:top w:val="nil"/>
              <w:left w:val="nil"/>
              <w:bottom w:val="nil"/>
              <w:right w:val="nil"/>
            </w:tcBorders>
            <w:shd w:val="clear" w:color="auto" w:fill="auto"/>
            <w:noWrap/>
            <w:vAlign w:val="bottom"/>
          </w:tcPr>
          <w:p w14:paraId="37B7D4E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tcBorders>
              <w:top w:val="nil"/>
              <w:left w:val="nil"/>
              <w:bottom w:val="nil"/>
              <w:right w:val="nil"/>
            </w:tcBorders>
            <w:shd w:val="clear" w:color="auto" w:fill="auto"/>
            <w:noWrap/>
            <w:vAlign w:val="bottom"/>
          </w:tcPr>
          <w:p w14:paraId="3C2F0C7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1A0607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2096904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6D25746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404631CC">
        <w:tblPrEx>
          <w:tblCellMar>
            <w:top w:w="0" w:type="dxa"/>
            <w:left w:w="108" w:type="dxa"/>
            <w:bottom w:w="0" w:type="dxa"/>
            <w:right w:w="108" w:type="dxa"/>
          </w:tblCellMar>
        </w:tblPrEx>
        <w:trPr>
          <w:trHeight w:val="317" w:hRule="atLeast"/>
        </w:trPr>
        <w:tc>
          <w:tcPr>
            <w:tcW w:w="7695" w:type="dxa"/>
            <w:gridSpan w:val="7"/>
            <w:tcBorders>
              <w:top w:val="nil"/>
              <w:left w:val="nil"/>
              <w:bottom w:val="single" w:color="auto" w:sz="4" w:space="0"/>
              <w:right w:val="nil"/>
            </w:tcBorders>
            <w:shd w:val="clear" w:color="auto" w:fill="auto"/>
            <w:noWrap/>
            <w:vAlign w:val="bottom"/>
          </w:tcPr>
          <w:p w14:paraId="2B09BE3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990" w:type="dxa"/>
            <w:tcBorders>
              <w:top w:val="nil"/>
              <w:left w:val="nil"/>
              <w:bottom w:val="single" w:color="auto" w:sz="4" w:space="0"/>
              <w:right w:val="nil"/>
            </w:tcBorders>
            <w:shd w:val="clear" w:color="auto" w:fill="auto"/>
            <w:noWrap/>
            <w:vAlign w:val="bottom"/>
          </w:tcPr>
          <w:p w14:paraId="21E4ED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4C995E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56CA34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0835FB4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7853DD">
        <w:tblPrEx>
          <w:tblCellMar>
            <w:top w:w="0" w:type="dxa"/>
            <w:left w:w="108" w:type="dxa"/>
            <w:bottom w:w="0" w:type="dxa"/>
            <w:right w:w="108" w:type="dxa"/>
          </w:tblCellMar>
        </w:tblPrEx>
        <w:trPr>
          <w:trHeight w:val="327"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633A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E7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8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94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88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C81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44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9D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C6F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6CE7958D">
        <w:tblPrEx>
          <w:tblCellMar>
            <w:top w:w="0" w:type="dxa"/>
            <w:left w:w="108" w:type="dxa"/>
            <w:bottom w:w="0" w:type="dxa"/>
            <w:right w:w="108" w:type="dxa"/>
          </w:tblCellMar>
        </w:tblPrEx>
        <w:trPr>
          <w:trHeight w:val="327" w:hRule="atLeast"/>
        </w:trPr>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78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3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50D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8F1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15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BEF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F92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EF3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C3C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宋体" w:hAnsi="宋体" w:eastAsia="宋体" w:cs="宋体"/>
                <w:color w:val="000000"/>
                <w:sz w:val="22"/>
                <w:szCs w:val="22"/>
                <w:highlight w:val="none"/>
              </w:rPr>
            </w:pPr>
          </w:p>
        </w:tc>
      </w:tr>
      <w:tr w14:paraId="601FC50A">
        <w:tblPrEx>
          <w:tblCellMar>
            <w:top w:w="0" w:type="dxa"/>
            <w:left w:w="108" w:type="dxa"/>
            <w:bottom w:w="0" w:type="dxa"/>
            <w:right w:w="108" w:type="dxa"/>
          </w:tblCellMar>
        </w:tblPrEx>
        <w:trPr>
          <w:trHeight w:val="327"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384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3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B95F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554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E32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AEE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400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56E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2B6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46F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870608D">
        <w:tblPrEx>
          <w:tblCellMar>
            <w:top w:w="0" w:type="dxa"/>
            <w:left w:w="108" w:type="dxa"/>
            <w:bottom w:w="0" w:type="dxa"/>
            <w:right w:w="108" w:type="dxa"/>
          </w:tblCellMar>
        </w:tblPrEx>
        <w:trPr>
          <w:trHeight w:val="312" w:hRule="atLeast"/>
        </w:trPr>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B524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3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53DD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0CBB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9A7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645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A641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DCB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25C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3C8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64F0BE2">
        <w:tblPrEx>
          <w:tblCellMar>
            <w:top w:w="0" w:type="dxa"/>
            <w:left w:w="108" w:type="dxa"/>
            <w:bottom w:w="0" w:type="dxa"/>
            <w:right w:w="108" w:type="dxa"/>
          </w:tblCellMar>
        </w:tblPrEx>
        <w:trPr>
          <w:trHeight w:val="327"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5DE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14:paraId="7DCAE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06F278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663F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2E002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23CA5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3AE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76214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67A9BC94">
        <w:tblPrEx>
          <w:tblCellMar>
            <w:top w:w="0" w:type="dxa"/>
            <w:left w:w="108" w:type="dxa"/>
            <w:bottom w:w="0" w:type="dxa"/>
            <w:right w:w="108" w:type="dxa"/>
          </w:tblCellMar>
        </w:tblPrEx>
        <w:trPr>
          <w:trHeight w:val="401" w:hRule="atLeas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30C9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2FF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402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1730.07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6509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8FD0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043E8">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E200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4309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14:paraId="26E2D51C">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343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2011101</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FA8E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641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1172.11</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A9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1172.11</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117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343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399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16B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BAC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2172BCA">
        <w:tblPrEx>
          <w:tblCellMar>
            <w:top w:w="0" w:type="dxa"/>
            <w:left w:w="108" w:type="dxa"/>
            <w:bottom w:w="0" w:type="dxa"/>
            <w:right w:w="108" w:type="dxa"/>
          </w:tblCellMar>
        </w:tblPrEx>
        <w:trPr>
          <w:trHeight w:val="90"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193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2011103</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CBF1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DDF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843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D0E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B15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17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A85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72D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42162429">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53E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2011105</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429A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DC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57B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AE5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70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992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8D1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ECC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82E65F3">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BA5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2011106</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12B2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60E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19</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D3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B06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799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830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D35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0D9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38F759E">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BF0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F26A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157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B1F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E5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549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D60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E7A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B1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0E7FBB">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A8F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845D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5A4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16.47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E2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D3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B8B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EB2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030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15E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D0E355E">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062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6A7C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05F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132.32</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8EB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71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C1A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9D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ADA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570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4FF5B4">
        <w:tblPrEx>
          <w:tblCellMar>
            <w:top w:w="0" w:type="dxa"/>
            <w:left w:w="108" w:type="dxa"/>
            <w:bottom w:w="0" w:type="dxa"/>
            <w:right w:w="108" w:type="dxa"/>
          </w:tblCellMar>
        </w:tblPrEx>
        <w:trPr>
          <w:trHeight w:val="327"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563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0961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97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100.25</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666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B99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5BD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892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500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3B7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183AF32">
        <w:tblPrEx>
          <w:tblCellMar>
            <w:top w:w="0" w:type="dxa"/>
            <w:left w:w="108" w:type="dxa"/>
            <w:bottom w:w="0" w:type="dxa"/>
            <w:right w:w="108" w:type="dxa"/>
          </w:tblCellMar>
        </w:tblPrEx>
        <w:trPr>
          <w:trHeight w:val="554" w:hRule="atLeast"/>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0C9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F4C2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A52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242.57</w:t>
            </w:r>
          </w:p>
        </w:tc>
        <w:tc>
          <w:tcPr>
            <w:tcW w:w="1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300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CF5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A5A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060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153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A81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F070593">
        <w:tblPrEx>
          <w:tblCellMar>
            <w:top w:w="0" w:type="dxa"/>
            <w:left w:w="108" w:type="dxa"/>
            <w:bottom w:w="0" w:type="dxa"/>
            <w:right w:w="108" w:type="dxa"/>
          </w:tblCellMar>
        </w:tblPrEx>
        <w:trPr>
          <w:trHeight w:val="327" w:hRule="atLeast"/>
        </w:trPr>
        <w:tc>
          <w:tcPr>
            <w:tcW w:w="14341" w:type="dxa"/>
            <w:gridSpan w:val="12"/>
            <w:tcBorders>
              <w:top w:val="single" w:color="auto" w:sz="4" w:space="0"/>
              <w:left w:val="nil"/>
              <w:bottom w:val="nil"/>
              <w:right w:val="nil"/>
            </w:tcBorders>
            <w:shd w:val="clear" w:color="auto" w:fill="auto"/>
            <w:noWrap/>
            <w:vAlign w:val="center"/>
          </w:tcPr>
          <w:p w14:paraId="69627D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0C75F6BD">
      <w:pPr>
        <w:jc w:val="center"/>
        <w:rPr>
          <w:rFonts w:ascii="仿宋" w:hAnsi="仿宋" w:eastAsia="仿宋" w:cs="仿宋"/>
          <w:sz w:val="24"/>
          <w:highlight w:val="none"/>
        </w:rPr>
      </w:pPr>
    </w:p>
    <w:p w14:paraId="584F255D">
      <w:pPr>
        <w:rPr>
          <w:rFonts w:ascii="仿宋" w:hAnsi="仿宋" w:eastAsia="仿宋" w:cs="仿宋"/>
          <w:sz w:val="24"/>
          <w:highlight w:val="none"/>
        </w:rPr>
      </w:pPr>
      <w:r>
        <w:rPr>
          <w:rFonts w:ascii="仿宋" w:hAnsi="仿宋" w:eastAsia="仿宋" w:cs="仿宋"/>
          <w:sz w:val="24"/>
          <w:highlight w:val="none"/>
        </w:rPr>
        <w:br w:type="page"/>
      </w:r>
    </w:p>
    <w:p w14:paraId="6B7625D7">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5A460678">
      <w:pPr>
        <w:jc w:val="left"/>
        <w:rPr>
          <w:rFonts w:hint="eastAsia" w:ascii="仿宋" w:hAnsi="仿宋" w:eastAsia="仿宋" w:cs="仿宋"/>
          <w:sz w:val="24"/>
          <w:highlight w:val="none"/>
        </w:rPr>
      </w:pPr>
    </w:p>
    <w:tbl>
      <w:tblPr>
        <w:tblStyle w:val="7"/>
        <w:tblW w:w="14166" w:type="dxa"/>
        <w:tblInd w:w="-90" w:type="dxa"/>
        <w:tblLayout w:type="fixed"/>
        <w:tblCellMar>
          <w:top w:w="0" w:type="dxa"/>
          <w:left w:w="108" w:type="dxa"/>
          <w:bottom w:w="0" w:type="dxa"/>
          <w:right w:w="108" w:type="dxa"/>
        </w:tblCellMar>
      </w:tblPr>
      <w:tblGrid>
        <w:gridCol w:w="1328"/>
        <w:gridCol w:w="240"/>
        <w:gridCol w:w="300"/>
        <w:gridCol w:w="2032"/>
        <w:gridCol w:w="1817"/>
        <w:gridCol w:w="1680"/>
        <w:gridCol w:w="1760"/>
        <w:gridCol w:w="1653"/>
        <w:gridCol w:w="1654"/>
        <w:gridCol w:w="1702"/>
      </w:tblGrid>
      <w:tr w14:paraId="7E86DBFA">
        <w:tblPrEx>
          <w:tblCellMar>
            <w:top w:w="0" w:type="dxa"/>
            <w:left w:w="108" w:type="dxa"/>
            <w:bottom w:w="0" w:type="dxa"/>
            <w:right w:w="108" w:type="dxa"/>
          </w:tblCellMar>
        </w:tblPrEx>
        <w:trPr>
          <w:trHeight w:val="623" w:hRule="atLeast"/>
        </w:trPr>
        <w:tc>
          <w:tcPr>
            <w:tcW w:w="14166" w:type="dxa"/>
            <w:gridSpan w:val="10"/>
            <w:tcBorders>
              <w:top w:val="nil"/>
              <w:left w:val="nil"/>
              <w:bottom w:val="nil"/>
              <w:right w:val="nil"/>
            </w:tcBorders>
            <w:shd w:val="clear" w:color="auto" w:fill="auto"/>
            <w:noWrap/>
            <w:vAlign w:val="center"/>
          </w:tcPr>
          <w:p w14:paraId="08451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52251F36">
        <w:tblPrEx>
          <w:tblCellMar>
            <w:top w:w="0" w:type="dxa"/>
            <w:left w:w="108" w:type="dxa"/>
            <w:bottom w:w="0" w:type="dxa"/>
            <w:right w:w="108" w:type="dxa"/>
          </w:tblCellMar>
        </w:tblPrEx>
        <w:trPr>
          <w:trHeight w:val="312" w:hRule="atLeast"/>
        </w:trPr>
        <w:tc>
          <w:tcPr>
            <w:tcW w:w="1328" w:type="dxa"/>
            <w:tcBorders>
              <w:top w:val="nil"/>
              <w:left w:val="nil"/>
              <w:bottom w:val="nil"/>
              <w:right w:val="nil"/>
            </w:tcBorders>
            <w:shd w:val="clear" w:color="auto" w:fill="auto"/>
            <w:noWrap/>
            <w:vAlign w:val="center"/>
          </w:tcPr>
          <w:p w14:paraId="24F983F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center"/>
          </w:tcPr>
          <w:p w14:paraId="617EA24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dxa"/>
            <w:tcBorders>
              <w:top w:val="nil"/>
              <w:left w:val="nil"/>
              <w:bottom w:val="nil"/>
              <w:right w:val="nil"/>
            </w:tcBorders>
            <w:shd w:val="clear" w:color="auto" w:fill="auto"/>
            <w:noWrap/>
            <w:vAlign w:val="center"/>
          </w:tcPr>
          <w:p w14:paraId="6003AA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2" w:type="dxa"/>
            <w:tcBorders>
              <w:top w:val="nil"/>
              <w:left w:val="nil"/>
              <w:bottom w:val="nil"/>
              <w:right w:val="nil"/>
            </w:tcBorders>
            <w:shd w:val="clear" w:color="auto" w:fill="auto"/>
            <w:noWrap/>
            <w:vAlign w:val="center"/>
          </w:tcPr>
          <w:p w14:paraId="4A480E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17" w:type="dxa"/>
            <w:tcBorders>
              <w:top w:val="nil"/>
              <w:left w:val="nil"/>
              <w:bottom w:val="nil"/>
              <w:right w:val="nil"/>
            </w:tcBorders>
            <w:shd w:val="clear" w:color="auto" w:fill="auto"/>
            <w:noWrap/>
            <w:vAlign w:val="center"/>
          </w:tcPr>
          <w:p w14:paraId="4286A02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44B9E1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12ED49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0DAEC1D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3E6707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392C31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656CE0B1">
        <w:tblPrEx>
          <w:tblCellMar>
            <w:top w:w="0" w:type="dxa"/>
            <w:left w:w="108" w:type="dxa"/>
            <w:bottom w:w="0" w:type="dxa"/>
            <w:right w:w="108" w:type="dxa"/>
          </w:tblCellMar>
        </w:tblPrEx>
        <w:trPr>
          <w:trHeight w:val="312" w:hRule="atLeast"/>
        </w:trPr>
        <w:tc>
          <w:tcPr>
            <w:tcW w:w="9157" w:type="dxa"/>
            <w:gridSpan w:val="7"/>
            <w:tcBorders>
              <w:top w:val="nil"/>
              <w:left w:val="nil"/>
              <w:bottom w:val="single" w:color="auto" w:sz="4" w:space="0"/>
              <w:right w:val="nil"/>
            </w:tcBorders>
            <w:shd w:val="clear" w:color="auto" w:fill="auto"/>
            <w:noWrap/>
            <w:vAlign w:val="center"/>
          </w:tcPr>
          <w:p w14:paraId="3B3581E4">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653" w:type="dxa"/>
            <w:tcBorders>
              <w:top w:val="nil"/>
              <w:left w:val="nil"/>
              <w:bottom w:val="single" w:color="auto" w:sz="4" w:space="0"/>
              <w:right w:val="nil"/>
            </w:tcBorders>
            <w:shd w:val="clear" w:color="auto" w:fill="auto"/>
            <w:noWrap/>
            <w:vAlign w:val="center"/>
          </w:tcPr>
          <w:p w14:paraId="20A5A3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617FBE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288F3F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126B6C1">
        <w:tblPrEx>
          <w:tblCellMar>
            <w:top w:w="0" w:type="dxa"/>
            <w:left w:w="108" w:type="dxa"/>
            <w:bottom w:w="0" w:type="dxa"/>
            <w:right w:w="108" w:type="dxa"/>
          </w:tblCellMar>
        </w:tblPrEx>
        <w:trPr>
          <w:trHeight w:val="322"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2C6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EC7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16C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8E1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FA4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3A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7AF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2F39A082">
        <w:tblPrEx>
          <w:tblCellMar>
            <w:top w:w="0" w:type="dxa"/>
            <w:left w:w="108" w:type="dxa"/>
            <w:bottom w:w="0" w:type="dxa"/>
            <w:right w:w="108" w:type="dxa"/>
          </w:tblCellMar>
        </w:tblPrEx>
        <w:trPr>
          <w:trHeight w:val="322" w:hRule="atLeast"/>
        </w:trPr>
        <w:tc>
          <w:tcPr>
            <w:tcW w:w="15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0B7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3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FBA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E10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52D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2E1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2E4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F9C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02A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86711E1">
        <w:tblPrEx>
          <w:tblCellMar>
            <w:top w:w="0" w:type="dxa"/>
            <w:left w:w="108" w:type="dxa"/>
            <w:bottom w:w="0" w:type="dxa"/>
            <w:right w:w="108" w:type="dxa"/>
          </w:tblCellMar>
        </w:tblPrEx>
        <w:trPr>
          <w:trHeight w:val="465" w:hRule="atLeast"/>
        </w:trPr>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E439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3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1183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CE3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EE1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20A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E59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77E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B78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495ECF5">
        <w:tblPrEx>
          <w:tblCellMar>
            <w:top w:w="0" w:type="dxa"/>
            <w:left w:w="108" w:type="dxa"/>
            <w:bottom w:w="0" w:type="dxa"/>
            <w:right w:w="108" w:type="dxa"/>
          </w:tblCellMar>
        </w:tblPrEx>
        <w:trPr>
          <w:trHeight w:val="312" w:hRule="atLeast"/>
        </w:trPr>
        <w:tc>
          <w:tcPr>
            <w:tcW w:w="156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7B6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3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97AB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EBD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2EF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60F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927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D43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E2D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D456F15">
        <w:tblPrEx>
          <w:tblCellMar>
            <w:top w:w="0" w:type="dxa"/>
            <w:left w:w="108" w:type="dxa"/>
            <w:bottom w:w="0" w:type="dxa"/>
            <w:right w:w="108" w:type="dxa"/>
          </w:tblCellMar>
        </w:tblPrEx>
        <w:trPr>
          <w:trHeight w:val="322"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C921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49A72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13B74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ED937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A04B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069983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1411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72846965">
        <w:tblPrEx>
          <w:tblCellMar>
            <w:top w:w="0" w:type="dxa"/>
            <w:left w:w="108" w:type="dxa"/>
            <w:bottom w:w="0" w:type="dxa"/>
            <w:right w:w="108" w:type="dxa"/>
          </w:tblCellMar>
        </w:tblPrEx>
        <w:trPr>
          <w:trHeight w:val="353" w:hRule="atLeast"/>
        </w:trPr>
        <w:tc>
          <w:tcPr>
            <w:tcW w:w="39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8C2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7AE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E9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1418.48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AC6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311.59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FCDF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7189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59B1D">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14:paraId="5E3DA6D1">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E1DB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2011101</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0AD5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374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1172.11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384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926.87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58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245.24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494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930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7A8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45A1C5A">
        <w:tblPrEx>
          <w:tblCellMar>
            <w:top w:w="0" w:type="dxa"/>
            <w:left w:w="108" w:type="dxa"/>
            <w:bottom w:w="0" w:type="dxa"/>
            <w:right w:w="108" w:type="dxa"/>
          </w:tblCellMar>
        </w:tblPrEx>
        <w:trPr>
          <w:trHeight w:val="90"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B3C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2011103</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8BED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1D6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046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C46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37F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885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532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19C3F68">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3D65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2011105</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641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E90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AB8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796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B9A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57E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0AE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8AE4A22">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1F4F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2011106</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A48F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881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223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0D5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CE3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924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E3A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2F3567">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A3DB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2011199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1964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25A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5B0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D8A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AB0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8A4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943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5F5CDC">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E754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E631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8CE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A0D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03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70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DE6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C0F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10BD73">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D906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8DFF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1D1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2A0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132.32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313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EC4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08C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A63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8523494">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29F8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A953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4C1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C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32D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FAE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FC6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C56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C27CC2E">
        <w:tblPrEx>
          <w:tblCellMar>
            <w:top w:w="0" w:type="dxa"/>
            <w:left w:w="108" w:type="dxa"/>
            <w:bottom w:w="0" w:type="dxa"/>
            <w:right w:w="108" w:type="dxa"/>
          </w:tblCellMar>
        </w:tblPrEx>
        <w:trPr>
          <w:trHeight w:val="322" w:hRule="atLeast"/>
        </w:trPr>
        <w:tc>
          <w:tcPr>
            <w:tcW w:w="15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FA2C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1C88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62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9FE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242.57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27F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06F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AD4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5A1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B175CD1">
        <w:tblPrEx>
          <w:tblCellMar>
            <w:top w:w="0" w:type="dxa"/>
            <w:left w:w="108" w:type="dxa"/>
            <w:bottom w:w="0" w:type="dxa"/>
            <w:right w:w="108" w:type="dxa"/>
          </w:tblCellMar>
        </w:tblPrEx>
        <w:trPr>
          <w:trHeight w:val="322" w:hRule="atLeast"/>
        </w:trPr>
        <w:tc>
          <w:tcPr>
            <w:tcW w:w="14166" w:type="dxa"/>
            <w:gridSpan w:val="10"/>
            <w:tcBorders>
              <w:top w:val="single" w:color="auto" w:sz="4" w:space="0"/>
              <w:left w:val="nil"/>
              <w:bottom w:val="nil"/>
              <w:right w:val="nil"/>
            </w:tcBorders>
            <w:shd w:val="clear" w:color="auto" w:fill="auto"/>
            <w:noWrap/>
            <w:vAlign w:val="center"/>
          </w:tcPr>
          <w:p w14:paraId="193F86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78993012">
      <w:pPr>
        <w:rPr>
          <w:rFonts w:ascii="仿宋" w:hAnsi="仿宋" w:eastAsia="仿宋" w:cs="仿宋"/>
          <w:sz w:val="24"/>
          <w:highlight w:val="none"/>
        </w:rPr>
      </w:pPr>
      <w:r>
        <w:rPr>
          <w:rFonts w:ascii="仿宋" w:hAnsi="仿宋" w:eastAsia="仿宋" w:cs="仿宋"/>
          <w:sz w:val="24"/>
          <w:highlight w:val="none"/>
        </w:rPr>
        <w:br w:type="page"/>
      </w:r>
    </w:p>
    <w:p w14:paraId="31A1D6B5">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7"/>
        <w:tblpPr w:leftFromText="180" w:rightFromText="180" w:vertAnchor="text" w:horzAnchor="page" w:tblpX="481" w:tblpY="49"/>
        <w:tblOverlap w:val="never"/>
        <w:tblW w:w="5319" w:type="pct"/>
        <w:tblInd w:w="0" w:type="dxa"/>
        <w:tblLayout w:type="fixed"/>
        <w:tblCellMar>
          <w:top w:w="0" w:type="dxa"/>
          <w:left w:w="108" w:type="dxa"/>
          <w:bottom w:w="0" w:type="dxa"/>
          <w:right w:w="108" w:type="dxa"/>
        </w:tblCellMar>
      </w:tblPr>
      <w:tblGrid>
        <w:gridCol w:w="3217"/>
        <w:gridCol w:w="443"/>
        <w:gridCol w:w="1649"/>
        <w:gridCol w:w="2971"/>
        <w:gridCol w:w="615"/>
        <w:gridCol w:w="1020"/>
        <w:gridCol w:w="1468"/>
        <w:gridCol w:w="1803"/>
        <w:gridCol w:w="1894"/>
      </w:tblGrid>
      <w:tr w14:paraId="3994934E">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5A35A46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16C248C6">
        <w:tblPrEx>
          <w:tblCellMar>
            <w:top w:w="0" w:type="dxa"/>
            <w:left w:w="108" w:type="dxa"/>
            <w:bottom w:w="0" w:type="dxa"/>
            <w:right w:w="108" w:type="dxa"/>
          </w:tblCellMar>
        </w:tblPrEx>
        <w:trPr>
          <w:trHeight w:val="260" w:hRule="atLeast"/>
        </w:trPr>
        <w:tc>
          <w:tcPr>
            <w:tcW w:w="1066" w:type="pct"/>
            <w:tcBorders>
              <w:top w:val="nil"/>
              <w:left w:val="nil"/>
              <w:bottom w:val="nil"/>
              <w:right w:val="nil"/>
            </w:tcBorders>
            <w:shd w:val="clear" w:color="auto" w:fill="auto"/>
            <w:noWrap/>
            <w:vAlign w:val="bottom"/>
          </w:tcPr>
          <w:p w14:paraId="1B27452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 w:type="pct"/>
            <w:tcBorders>
              <w:top w:val="nil"/>
              <w:left w:val="nil"/>
              <w:bottom w:val="nil"/>
              <w:right w:val="nil"/>
            </w:tcBorders>
            <w:shd w:val="clear" w:color="auto" w:fill="auto"/>
            <w:noWrap/>
            <w:vAlign w:val="bottom"/>
          </w:tcPr>
          <w:p w14:paraId="7DB94B0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6" w:type="pct"/>
            <w:tcBorders>
              <w:top w:val="nil"/>
              <w:left w:val="nil"/>
              <w:bottom w:val="nil"/>
              <w:right w:val="nil"/>
            </w:tcBorders>
            <w:shd w:val="clear" w:color="auto" w:fill="auto"/>
            <w:noWrap/>
            <w:vAlign w:val="bottom"/>
          </w:tcPr>
          <w:p w14:paraId="474B1D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5" w:type="pct"/>
            <w:tcBorders>
              <w:top w:val="nil"/>
              <w:left w:val="nil"/>
              <w:bottom w:val="nil"/>
              <w:right w:val="nil"/>
            </w:tcBorders>
            <w:shd w:val="clear" w:color="auto" w:fill="auto"/>
            <w:noWrap/>
            <w:vAlign w:val="bottom"/>
          </w:tcPr>
          <w:p w14:paraId="17730FF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 w:type="pct"/>
            <w:tcBorders>
              <w:top w:val="nil"/>
              <w:left w:val="nil"/>
              <w:bottom w:val="nil"/>
              <w:right w:val="nil"/>
            </w:tcBorders>
            <w:shd w:val="clear" w:color="auto" w:fill="auto"/>
            <w:noWrap/>
            <w:vAlign w:val="bottom"/>
          </w:tcPr>
          <w:p w14:paraId="26D71E8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8" w:type="pct"/>
            <w:tcBorders>
              <w:top w:val="nil"/>
              <w:left w:val="nil"/>
              <w:bottom w:val="nil"/>
              <w:right w:val="nil"/>
            </w:tcBorders>
            <w:shd w:val="clear" w:color="auto" w:fill="auto"/>
            <w:noWrap/>
            <w:vAlign w:val="bottom"/>
          </w:tcPr>
          <w:p w14:paraId="1DA2D4C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6" w:type="pct"/>
            <w:tcBorders>
              <w:top w:val="nil"/>
              <w:left w:val="nil"/>
              <w:bottom w:val="nil"/>
              <w:right w:val="nil"/>
            </w:tcBorders>
            <w:shd w:val="clear" w:color="auto" w:fill="auto"/>
            <w:noWrap/>
            <w:vAlign w:val="bottom"/>
          </w:tcPr>
          <w:p w14:paraId="4CDC956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nil"/>
              <w:right w:val="nil"/>
            </w:tcBorders>
            <w:shd w:val="clear" w:color="auto" w:fill="auto"/>
            <w:noWrap/>
            <w:vAlign w:val="bottom"/>
          </w:tcPr>
          <w:p w14:paraId="0C8FAC6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7" w:type="pct"/>
            <w:tcBorders>
              <w:top w:val="nil"/>
              <w:left w:val="nil"/>
              <w:bottom w:val="nil"/>
              <w:right w:val="nil"/>
            </w:tcBorders>
            <w:shd w:val="clear" w:color="auto" w:fill="auto"/>
            <w:noWrap/>
            <w:vAlign w:val="bottom"/>
          </w:tcPr>
          <w:p w14:paraId="40D0AB8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3EA3F24B">
        <w:tblPrEx>
          <w:tblCellMar>
            <w:top w:w="0" w:type="dxa"/>
            <w:left w:w="108" w:type="dxa"/>
            <w:bottom w:w="0" w:type="dxa"/>
            <w:right w:w="108" w:type="dxa"/>
          </w:tblCellMar>
        </w:tblPrEx>
        <w:trPr>
          <w:trHeight w:val="260" w:hRule="atLeast"/>
        </w:trPr>
        <w:tc>
          <w:tcPr>
            <w:tcW w:w="3287" w:type="pct"/>
            <w:gridSpan w:val="6"/>
            <w:tcBorders>
              <w:top w:val="nil"/>
              <w:left w:val="nil"/>
              <w:bottom w:val="single" w:color="auto" w:sz="4" w:space="0"/>
              <w:right w:val="nil"/>
            </w:tcBorders>
            <w:shd w:val="clear" w:color="auto" w:fill="auto"/>
            <w:noWrap/>
            <w:vAlign w:val="bottom"/>
          </w:tcPr>
          <w:p w14:paraId="02A9BA2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486" w:type="pct"/>
            <w:tcBorders>
              <w:top w:val="nil"/>
              <w:left w:val="nil"/>
              <w:bottom w:val="single" w:color="auto" w:sz="4" w:space="0"/>
              <w:right w:val="nil"/>
            </w:tcBorders>
            <w:shd w:val="clear" w:color="auto" w:fill="auto"/>
            <w:noWrap/>
            <w:vAlign w:val="bottom"/>
          </w:tcPr>
          <w:p w14:paraId="622CCC3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7" w:type="pct"/>
            <w:tcBorders>
              <w:top w:val="nil"/>
              <w:left w:val="nil"/>
              <w:bottom w:val="single" w:color="auto" w:sz="4" w:space="0"/>
              <w:right w:val="nil"/>
            </w:tcBorders>
            <w:shd w:val="clear" w:color="auto" w:fill="auto"/>
            <w:noWrap/>
            <w:vAlign w:val="bottom"/>
          </w:tcPr>
          <w:p w14:paraId="0B968A1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7" w:type="pct"/>
            <w:tcBorders>
              <w:top w:val="nil"/>
              <w:left w:val="nil"/>
              <w:bottom w:val="single" w:color="auto" w:sz="4" w:space="0"/>
              <w:right w:val="nil"/>
            </w:tcBorders>
            <w:shd w:val="clear" w:color="auto" w:fill="auto"/>
            <w:noWrap/>
            <w:vAlign w:val="bottom"/>
          </w:tcPr>
          <w:p w14:paraId="43AAB6B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D53FA94">
        <w:tblPrEx>
          <w:tblCellMar>
            <w:top w:w="0" w:type="dxa"/>
            <w:left w:w="108" w:type="dxa"/>
            <w:bottom w:w="0" w:type="dxa"/>
            <w:right w:w="108" w:type="dxa"/>
          </w:tblCellMar>
        </w:tblPrEx>
        <w:trPr>
          <w:trHeight w:val="268" w:hRule="atLeast"/>
        </w:trPr>
        <w:tc>
          <w:tcPr>
            <w:tcW w:w="17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D42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239"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2262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654130D6">
        <w:tblPrEx>
          <w:tblCellMar>
            <w:top w:w="0" w:type="dxa"/>
            <w:left w:w="108" w:type="dxa"/>
            <w:bottom w:w="0" w:type="dxa"/>
            <w:right w:w="108" w:type="dxa"/>
          </w:tblCellMar>
        </w:tblPrEx>
        <w:trPr>
          <w:trHeight w:val="312" w:hRule="atLeast"/>
        </w:trPr>
        <w:tc>
          <w:tcPr>
            <w:tcW w:w="10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CB3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0B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A4F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CE9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76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8F0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3417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7B7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6063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71252276">
        <w:tblPrEx>
          <w:tblCellMar>
            <w:top w:w="0" w:type="dxa"/>
            <w:left w:w="108" w:type="dxa"/>
            <w:bottom w:w="0" w:type="dxa"/>
            <w:right w:w="108" w:type="dxa"/>
          </w:tblCellMar>
        </w:tblPrEx>
        <w:trPr>
          <w:trHeight w:val="391" w:hRule="atLeast"/>
        </w:trPr>
        <w:tc>
          <w:tcPr>
            <w:tcW w:w="10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75B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8675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4E3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B198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219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FF08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EB21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D2AA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A62B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38E0E1A">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1C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6CBC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59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3C4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B032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98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4E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25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3C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3E242194">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266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084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FED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3A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ACD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EE9D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1254.93</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0321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1254.93</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4BC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4CF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6190AE">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1BB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BFD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511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8D1B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8F2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4C37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49F5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D50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504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C9D1A02">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39F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EDA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829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83C0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C61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D04B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8B1F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7B8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0B8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400DEF9">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D49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6AD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38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C50F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F74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6B2D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2DF4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B4D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172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14B9B1E">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268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D380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F75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242A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9E6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C5E4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57F8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BF3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77F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C59083B">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99F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A13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4B7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C19D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EA9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1C63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F5B0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D07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81B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AB8F96D">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D77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462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CCD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9A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6EB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7028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F406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AA1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CDB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08E13DA">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6AF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D400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6DD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90F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855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B262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132.32</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F796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132.32</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270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80D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7FC88D">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FEC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8FF9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8CF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8D9E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CCAA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D3D2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7CAB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ED5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FCF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A1B9346">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A55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214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75A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F7F6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83CE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BF68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2D25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2D3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B91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B5FF35">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E3F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4C11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8E6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5806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D20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A7EE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972B6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8F8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B99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1431C96">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FE7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A221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BF8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6C8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C94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3A94F">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1189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BFC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EB3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CA43FB2">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668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06D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F87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C9D6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ECC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41C18">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ECFA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B8F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9A3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317DFD">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6C1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899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821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96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6A3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A34E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D131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8CA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593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9DE460">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757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6F6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6EE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49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BF6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09CE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CFBF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5A7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0D3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99A5934">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C29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182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9F18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A098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4608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0AC5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A09D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4FE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273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E0E3F28">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B71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108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D3A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CA0E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5CB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291C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BD07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5C0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1AA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BEDF6E3">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202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809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D61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96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FFB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81EF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2A3A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7BB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4A4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18644E">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C6D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721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B1E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9ECB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7D72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7B38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100.25</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090B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100.25</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BFA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59F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788A80">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5C5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DED7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FB4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9EF2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BA0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79D8E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4388E">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653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B9E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0C3DF4A">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334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6B9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D4C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12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E891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1D84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C748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D5F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523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ECC08A9">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4C1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463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4F1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D5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A78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D34A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A57E6">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CD5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E73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BFFC2B">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555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CBE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444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6B4B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642D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63E5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242.57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0B27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242.57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45D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B87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26433C5">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131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8C2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EB4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3588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AB03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546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3EE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579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294E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40C82F">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251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5EC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C9B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2CC0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768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4B1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E9A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6CC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FF9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4D7729C">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779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FF9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860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83E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4D0F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2DD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6DC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677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FC5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0B95B6C">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33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AA4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B21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3E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6FD7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AAC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13B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4F0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2AF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EA4E939">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40C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8F54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DA8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FA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A1B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E5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C84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2B6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977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4675598">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8EB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A91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8A5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52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49B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53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5C7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B79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785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8A56CD1">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81C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C8D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9F9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DA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08B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18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54E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160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F46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7BF18E5">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27B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852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714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7C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6E24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49E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E18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1AC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9C0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9BB50BA">
        <w:tblPrEx>
          <w:tblCellMar>
            <w:top w:w="0" w:type="dxa"/>
            <w:left w:w="108" w:type="dxa"/>
            <w:bottom w:w="0" w:type="dxa"/>
            <w:right w:w="108" w:type="dxa"/>
          </w:tblCellMar>
        </w:tblPrEx>
        <w:trPr>
          <w:trHeight w:val="268" w:hRule="atLeast"/>
        </w:trPr>
        <w:tc>
          <w:tcPr>
            <w:tcW w:w="10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C75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4DC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5B4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9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D6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EFF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6A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5D5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1730.07</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899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13B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86EC24E">
        <w:tblPrEx>
          <w:tblCellMar>
            <w:top w:w="0" w:type="dxa"/>
            <w:left w:w="108" w:type="dxa"/>
            <w:bottom w:w="0" w:type="dxa"/>
            <w:right w:w="108" w:type="dxa"/>
          </w:tblCellMar>
        </w:tblPrEx>
        <w:trPr>
          <w:trHeight w:val="438" w:hRule="atLeast"/>
        </w:trPr>
        <w:tc>
          <w:tcPr>
            <w:tcW w:w="4372" w:type="pct"/>
            <w:gridSpan w:val="8"/>
            <w:tcBorders>
              <w:top w:val="single" w:color="auto" w:sz="4" w:space="0"/>
              <w:left w:val="nil"/>
              <w:bottom w:val="nil"/>
              <w:right w:val="nil"/>
            </w:tcBorders>
            <w:shd w:val="clear" w:color="auto" w:fill="auto"/>
            <w:noWrap/>
            <w:vAlign w:val="center"/>
          </w:tcPr>
          <w:p w14:paraId="17E1B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549AFE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27" w:type="pct"/>
            <w:tcBorders>
              <w:top w:val="single" w:color="auto" w:sz="4" w:space="0"/>
              <w:left w:val="nil"/>
              <w:bottom w:val="nil"/>
              <w:right w:val="nil"/>
            </w:tcBorders>
            <w:shd w:val="clear" w:color="auto" w:fill="auto"/>
            <w:noWrap/>
            <w:vAlign w:val="center"/>
          </w:tcPr>
          <w:p w14:paraId="0DC8DF0F">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128A17C1">
      <w:pPr>
        <w:jc w:val="left"/>
        <w:rPr>
          <w:rFonts w:hint="eastAsia" w:ascii="仿宋" w:hAnsi="仿宋" w:eastAsia="仿宋" w:cs="仿宋"/>
          <w:sz w:val="24"/>
          <w:highlight w:val="none"/>
        </w:rPr>
      </w:pPr>
    </w:p>
    <w:p w14:paraId="4A8B7A32">
      <w:pPr>
        <w:jc w:val="left"/>
        <w:rPr>
          <w:rFonts w:ascii="仿宋" w:hAnsi="仿宋" w:eastAsia="仿宋" w:cs="仿宋"/>
          <w:sz w:val="24"/>
          <w:highlight w:val="none"/>
        </w:rPr>
      </w:pPr>
    </w:p>
    <w:p w14:paraId="38DC00A0">
      <w:pPr>
        <w:rPr>
          <w:rFonts w:ascii="仿宋" w:hAnsi="仿宋" w:eastAsia="仿宋" w:cs="仿宋"/>
          <w:sz w:val="24"/>
          <w:highlight w:val="none"/>
        </w:rPr>
      </w:pPr>
      <w:r>
        <w:rPr>
          <w:rFonts w:ascii="仿宋" w:hAnsi="仿宋" w:eastAsia="仿宋" w:cs="仿宋"/>
          <w:sz w:val="24"/>
          <w:highlight w:val="none"/>
        </w:rPr>
        <w:br w:type="page"/>
      </w:r>
    </w:p>
    <w:p w14:paraId="078BFF1A">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5C0D8625">
      <w:pPr>
        <w:jc w:val="left"/>
        <w:rPr>
          <w:rFonts w:hint="eastAsia" w:ascii="仿宋" w:hAnsi="仿宋" w:eastAsia="仿宋" w:cs="仿宋"/>
          <w:sz w:val="24"/>
          <w:highlight w:val="none"/>
        </w:rPr>
      </w:pPr>
    </w:p>
    <w:tbl>
      <w:tblPr>
        <w:tblStyle w:val="7"/>
        <w:tblW w:w="14256" w:type="dxa"/>
        <w:tblInd w:w="-180" w:type="dxa"/>
        <w:tblLayout w:type="fixed"/>
        <w:tblCellMar>
          <w:top w:w="0" w:type="dxa"/>
          <w:left w:w="108" w:type="dxa"/>
          <w:bottom w:w="0" w:type="dxa"/>
          <w:right w:w="108" w:type="dxa"/>
        </w:tblCellMar>
      </w:tblPr>
      <w:tblGrid>
        <w:gridCol w:w="2287"/>
        <w:gridCol w:w="272"/>
        <w:gridCol w:w="238"/>
        <w:gridCol w:w="238"/>
        <w:gridCol w:w="2052"/>
        <w:gridCol w:w="3173"/>
        <w:gridCol w:w="3107"/>
        <w:gridCol w:w="2889"/>
      </w:tblGrid>
      <w:tr w14:paraId="37C9E243">
        <w:tblPrEx>
          <w:tblCellMar>
            <w:top w:w="0" w:type="dxa"/>
            <w:left w:w="108" w:type="dxa"/>
            <w:bottom w:w="0" w:type="dxa"/>
            <w:right w:w="108" w:type="dxa"/>
          </w:tblCellMar>
        </w:tblPrEx>
        <w:trPr>
          <w:trHeight w:val="693" w:hRule="atLeast"/>
        </w:trPr>
        <w:tc>
          <w:tcPr>
            <w:tcW w:w="14256" w:type="dxa"/>
            <w:gridSpan w:val="8"/>
            <w:tcBorders>
              <w:top w:val="nil"/>
              <w:left w:val="nil"/>
              <w:bottom w:val="nil"/>
              <w:right w:val="nil"/>
            </w:tcBorders>
            <w:shd w:val="clear" w:color="auto" w:fill="auto"/>
            <w:noWrap/>
            <w:vAlign w:val="bottom"/>
          </w:tcPr>
          <w:p w14:paraId="4539453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628C7CF8">
        <w:tblPrEx>
          <w:tblCellMar>
            <w:top w:w="0" w:type="dxa"/>
            <w:left w:w="108" w:type="dxa"/>
            <w:bottom w:w="0" w:type="dxa"/>
            <w:right w:w="108" w:type="dxa"/>
          </w:tblCellMar>
        </w:tblPrEx>
        <w:trPr>
          <w:trHeight w:val="346" w:hRule="atLeast"/>
        </w:trPr>
        <w:tc>
          <w:tcPr>
            <w:tcW w:w="2559" w:type="dxa"/>
            <w:gridSpan w:val="2"/>
            <w:tcBorders>
              <w:top w:val="nil"/>
              <w:left w:val="nil"/>
              <w:bottom w:val="nil"/>
              <w:right w:val="nil"/>
            </w:tcBorders>
            <w:shd w:val="clear" w:color="auto" w:fill="auto"/>
            <w:noWrap/>
            <w:vAlign w:val="bottom"/>
          </w:tcPr>
          <w:p w14:paraId="3B49F3D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1F873B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5D72C6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30A886C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6986175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52D16B8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68E5244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48D15663">
        <w:tblPrEx>
          <w:tblCellMar>
            <w:top w:w="0" w:type="dxa"/>
            <w:left w:w="108" w:type="dxa"/>
            <w:bottom w:w="0" w:type="dxa"/>
            <w:right w:w="108" w:type="dxa"/>
          </w:tblCellMar>
        </w:tblPrEx>
        <w:trPr>
          <w:trHeight w:val="346" w:hRule="atLeast"/>
        </w:trPr>
        <w:tc>
          <w:tcPr>
            <w:tcW w:w="8260" w:type="dxa"/>
            <w:gridSpan w:val="6"/>
            <w:tcBorders>
              <w:top w:val="nil"/>
              <w:left w:val="nil"/>
              <w:bottom w:val="single" w:color="auto" w:sz="4" w:space="0"/>
              <w:right w:val="nil"/>
            </w:tcBorders>
            <w:shd w:val="clear" w:color="auto" w:fill="auto"/>
            <w:noWrap/>
            <w:vAlign w:val="bottom"/>
          </w:tcPr>
          <w:p w14:paraId="03CFB2B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107" w:type="dxa"/>
            <w:tcBorders>
              <w:top w:val="nil"/>
              <w:left w:val="nil"/>
              <w:bottom w:val="single" w:color="auto" w:sz="4" w:space="0"/>
              <w:right w:val="nil"/>
            </w:tcBorders>
            <w:shd w:val="clear" w:color="auto" w:fill="auto"/>
            <w:noWrap/>
            <w:vAlign w:val="bottom"/>
          </w:tcPr>
          <w:p w14:paraId="34BD61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0FF53D9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0FF5279">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08B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847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621B2291">
        <w:tblPrEx>
          <w:tblCellMar>
            <w:top w:w="0" w:type="dxa"/>
            <w:left w:w="108" w:type="dxa"/>
            <w:bottom w:w="0" w:type="dxa"/>
            <w:right w:w="108" w:type="dxa"/>
          </w:tblCellMar>
        </w:tblPrEx>
        <w:trPr>
          <w:trHeight w:val="353" w:hRule="atLeast"/>
        </w:trPr>
        <w:tc>
          <w:tcPr>
            <w:tcW w:w="2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D2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9FF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3E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2C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0D3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786DB6BC">
        <w:tblPrEx>
          <w:tblCellMar>
            <w:top w:w="0" w:type="dxa"/>
            <w:left w:w="108" w:type="dxa"/>
            <w:bottom w:w="0" w:type="dxa"/>
            <w:right w:w="108" w:type="dxa"/>
          </w:tblCellMar>
        </w:tblPrEx>
        <w:trPr>
          <w:trHeight w:val="319" w:hRule="atLeast"/>
        </w:trPr>
        <w:tc>
          <w:tcPr>
            <w:tcW w:w="2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B05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DC60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FD9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B1D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1D9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E9892EF">
        <w:tblPrEx>
          <w:tblCellMar>
            <w:top w:w="0" w:type="dxa"/>
            <w:left w:w="108" w:type="dxa"/>
            <w:bottom w:w="0" w:type="dxa"/>
            <w:right w:w="108" w:type="dxa"/>
          </w:tblCellMar>
        </w:tblPrEx>
        <w:trPr>
          <w:trHeight w:val="312" w:hRule="atLeast"/>
        </w:trPr>
        <w:tc>
          <w:tcPr>
            <w:tcW w:w="2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35A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4386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1AC2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A7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BEF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263A3B0">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CFA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98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F8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1C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09ACEACC">
        <w:tblPrEx>
          <w:tblCellMar>
            <w:top w:w="0" w:type="dxa"/>
            <w:left w:w="108" w:type="dxa"/>
            <w:bottom w:w="0" w:type="dxa"/>
            <w:right w:w="108" w:type="dxa"/>
          </w:tblCellMar>
        </w:tblPrEx>
        <w:trPr>
          <w:trHeight w:val="358" w:hRule="atLeast"/>
        </w:trPr>
        <w:tc>
          <w:tcPr>
            <w:tcW w:w="50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5D0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0D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831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1418.48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C16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311.59</w:t>
            </w:r>
          </w:p>
        </w:tc>
      </w:tr>
      <w:tr w14:paraId="18198C20">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835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73B8A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EB8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1172.11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122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926.87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734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245.24</w:t>
            </w:r>
          </w:p>
        </w:tc>
      </w:tr>
      <w:tr w14:paraId="422FC834">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17C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ED4A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62C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138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920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r>
      <w:tr w14:paraId="2907282E">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026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161A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派驻派出机构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4EB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894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41A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4.85</w:t>
            </w:r>
          </w:p>
        </w:tc>
      </w:tr>
      <w:tr w14:paraId="7F267D2D">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87F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4F96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巡视工作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DA2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742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F2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r>
      <w:tr w14:paraId="2651B449">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E7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1BDB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4E5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3D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385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r>
      <w:tr w14:paraId="37D208A8">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2BA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B6EC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71C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842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870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8398498">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1C8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50FE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20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5CE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E1D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4140907">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141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3B23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84E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4F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ECE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5A3817B">
        <w:tblPrEx>
          <w:tblCellMar>
            <w:top w:w="0" w:type="dxa"/>
            <w:left w:w="108" w:type="dxa"/>
            <w:bottom w:w="0" w:type="dxa"/>
            <w:right w:w="108" w:type="dxa"/>
          </w:tblCellMar>
        </w:tblPrEx>
        <w:trPr>
          <w:trHeight w:val="358" w:hRule="atLeast"/>
        </w:trPr>
        <w:tc>
          <w:tcPr>
            <w:tcW w:w="2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D06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DF32F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8B3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FA4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7B0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D756EFA">
        <w:tblPrEx>
          <w:tblCellMar>
            <w:top w:w="0" w:type="dxa"/>
            <w:left w:w="108" w:type="dxa"/>
            <w:bottom w:w="0" w:type="dxa"/>
            <w:right w:w="108" w:type="dxa"/>
          </w:tblCellMar>
        </w:tblPrEx>
        <w:trPr>
          <w:trHeight w:val="358" w:hRule="atLeast"/>
        </w:trPr>
        <w:tc>
          <w:tcPr>
            <w:tcW w:w="14256" w:type="dxa"/>
            <w:gridSpan w:val="8"/>
            <w:tcBorders>
              <w:top w:val="single" w:color="auto" w:sz="4" w:space="0"/>
              <w:left w:val="nil"/>
              <w:bottom w:val="nil"/>
              <w:right w:val="nil"/>
            </w:tcBorders>
            <w:shd w:val="clear" w:color="auto" w:fill="auto"/>
            <w:noWrap/>
            <w:vAlign w:val="center"/>
          </w:tcPr>
          <w:p w14:paraId="0514DE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72B71EDC">
      <w:pPr>
        <w:rPr>
          <w:rFonts w:ascii="仿宋" w:hAnsi="仿宋" w:eastAsia="仿宋" w:cs="仿宋"/>
          <w:sz w:val="24"/>
          <w:highlight w:val="none"/>
        </w:rPr>
      </w:pPr>
      <w:r>
        <w:rPr>
          <w:rFonts w:ascii="仿宋" w:hAnsi="仿宋" w:eastAsia="仿宋" w:cs="仿宋"/>
          <w:sz w:val="24"/>
          <w:highlight w:val="none"/>
        </w:rPr>
        <w:br w:type="page"/>
      </w:r>
    </w:p>
    <w:p w14:paraId="4171393E">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7F1A9B30">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78966C1F">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7F17437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621236E6">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536914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6FAC4F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2CAFEB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01C70C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4C2881C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6EA838F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5F5532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5BE5859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5BD7555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3BF0919C">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7E9020D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160" w:type="dxa"/>
            <w:tcBorders>
              <w:top w:val="nil"/>
              <w:left w:val="nil"/>
              <w:bottom w:val="single" w:color="auto" w:sz="4" w:space="0"/>
              <w:right w:val="nil"/>
            </w:tcBorders>
            <w:shd w:val="clear" w:color="auto" w:fill="auto"/>
            <w:noWrap/>
            <w:vAlign w:val="bottom"/>
          </w:tcPr>
          <w:p w14:paraId="16BF71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09112E1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54B2EAF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CCF5FE4">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5F7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4DC2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2FFF1A87">
        <w:tblPrEx>
          <w:tblCellMar>
            <w:top w:w="0" w:type="dxa"/>
            <w:left w:w="108" w:type="dxa"/>
            <w:bottom w:w="0" w:type="dxa"/>
            <w:right w:w="108" w:type="dxa"/>
          </w:tblCellMar>
        </w:tblPrEx>
        <w:trPr>
          <w:trHeight w:val="916"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7608B4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14:paraId="46F39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BAD2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F245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14:paraId="45825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18321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5BDB3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6BD87F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DDBF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1AC3D16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D2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98EA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EDC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1315.20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12D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291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479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80C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84A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5139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BB0D1A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A614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bookmarkStart w:id="2" w:name="OLE_LINK5" w:colFirst="2" w:colLast="2"/>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8DA3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632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372.57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38E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379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32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4.20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05F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D9A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7326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5824BB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6AD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05A3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FE5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287.96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28D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DF8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2BE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B74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B69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3B9F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7D8BF4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9ED9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F5EF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485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341.13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471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243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C0F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814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91C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590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1602E3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904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203E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22C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6B8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2BF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199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FCF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A3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5389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1C3E19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85C4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1EEE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157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718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3D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E87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4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BEF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9925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E9D3C2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81F6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283F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41F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132.32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A13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353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F00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FB2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809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3B93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EA546A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F464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E91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8EC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6E1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E2D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7E7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11.87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04B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0A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0D89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920B03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53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4694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AFE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54.14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EC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64B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B35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902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78D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DAD7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CB4D25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1A05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27F6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DB9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B51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FC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C20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CD1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D3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C1C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F28CF5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234C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293E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766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A9E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2B5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415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2B8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F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9D2C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88C1F9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0272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969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3C8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100.25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84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0B1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9C1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F90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B55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F514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9D34AF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0ADC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677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BC9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12F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9B5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7D5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B49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7B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9412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3EC079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0FD0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724B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70E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867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1CF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115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FA0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F2B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6E9B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bookmarkEnd w:id="2"/>
      <w:tr w14:paraId="51DAB4B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FF7E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B878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CC1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41.83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2B0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2F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508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CDC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5E5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874D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4DA6AC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75D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FE1B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A51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B53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E1B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6CF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65D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708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947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3D9ED3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147C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0FFC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9FB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CFC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39C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344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54B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2D9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723D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4F953E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1FDE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5AFF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D9F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10F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CFD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68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E6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05F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249C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EBB538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23F6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FAF6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C9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9B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146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0EC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D6C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B8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7B8F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FD81A8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9785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8E9E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A65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8A9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5F9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4E0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8A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D3C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4A21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AD9E8D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4CF7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5A31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DA9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C76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983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05D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34D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D2E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586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7182C4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67C5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E514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C66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3A4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580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FA7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6EE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25F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DA01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78229A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1D03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F01E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C78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665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285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DCA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75E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10E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1996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6C94AC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2B7E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B05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E68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99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F0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43A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086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41C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989D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274BA4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928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23CA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4FC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611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E49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E7B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C98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89C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357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CEC823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9CE9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C386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A19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1C9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3BB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95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E72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14E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E914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65A397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F19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2517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958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343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C6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8A4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C2B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6CD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DBFD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643826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DFC4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A619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12C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4AB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C0A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A3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789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D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0445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6F2BEEF">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D54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bookmarkEnd w:id="0"/>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944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1357.02</w:t>
            </w:r>
          </w:p>
        </w:tc>
        <w:tc>
          <w:tcPr>
            <w:tcW w:w="3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BD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773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047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val="en-US" w:eastAsia="zh-CN"/>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2C8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288E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r>
      <w:tr w14:paraId="5D170E9F">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7A74F1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7BB253F1">
      <w:pPr>
        <w:jc w:val="left"/>
        <w:rPr>
          <w:rFonts w:ascii="仿宋" w:hAnsi="仿宋" w:eastAsia="仿宋" w:cs="仿宋"/>
          <w:sz w:val="24"/>
          <w:highlight w:val="none"/>
        </w:rPr>
      </w:pPr>
    </w:p>
    <w:p w14:paraId="5F549D6D">
      <w:pPr>
        <w:rPr>
          <w:rFonts w:ascii="仿宋" w:hAnsi="仿宋" w:eastAsia="仿宋" w:cs="仿宋"/>
          <w:sz w:val="24"/>
          <w:highlight w:val="none"/>
        </w:rPr>
      </w:pPr>
      <w:r>
        <w:rPr>
          <w:rFonts w:ascii="仿宋" w:hAnsi="仿宋" w:eastAsia="仿宋" w:cs="仿宋"/>
          <w:sz w:val="24"/>
          <w:highlight w:val="none"/>
        </w:rPr>
        <w:br w:type="page"/>
      </w:r>
    </w:p>
    <w:p w14:paraId="36095D52">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5E05FB8">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55318DC0">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1AC0B09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441C6800">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163C23D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2748C9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9BF058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246CF0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6D6F7EF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3252D68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6C0910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05EC40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2FC32E9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3E7EDF7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48031063">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02711E5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680" w:type="dxa"/>
            <w:tcBorders>
              <w:top w:val="nil"/>
              <w:left w:val="nil"/>
              <w:bottom w:val="single" w:color="auto" w:sz="4" w:space="0"/>
              <w:right w:val="nil"/>
            </w:tcBorders>
            <w:shd w:val="clear" w:color="auto" w:fill="auto"/>
            <w:noWrap/>
            <w:vAlign w:val="bottom"/>
          </w:tcPr>
          <w:p w14:paraId="205F986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28D54C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7E02167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34E8F6C">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B9A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258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087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3EF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9C8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26E33A74">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01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9EEF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16B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450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6D2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12F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9DF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A76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AC54CFA">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E1E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230CA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49F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FC1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28B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70D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942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BC1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D580238">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62F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29B0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B33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098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61C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319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E42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FBD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0651811">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7F6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D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99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2D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1C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86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FB4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08FB2F18">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41C5F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1D04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F7CB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F57B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CB80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195A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B3420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6B58085A">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3F7B9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51F80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F67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6762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E1A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8C6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E98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DB4C6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6D7740D">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6997B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3B02F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C59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B8D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0F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0949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465E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DC418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9483F4A">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A4158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D49EC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EB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E5E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CA7E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01D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8879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2DFE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ADC822B">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643802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3859BF7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59AFFB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5DF5103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507DE79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4B33CE2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44B3FB4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050F3F4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375D1AE">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2439165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368F0E9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36EBF23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66040D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5C5A41B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48429F8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2E4A5A3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1EF78BF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04D3517">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190BC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35F3659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
              </w:rPr>
              <w:t>本部门2022年度没有政府性基金预算财政拨款收入，也没有政府性基金预算财政拨款安排的支出，故本表无数据。</w:t>
            </w:r>
          </w:p>
          <w:p w14:paraId="277BEE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312C1E61">
      <w:pPr>
        <w:rPr>
          <w:rFonts w:ascii="仿宋" w:hAnsi="仿宋" w:eastAsia="仿宋" w:cs="仿宋"/>
          <w:sz w:val="24"/>
          <w:highlight w:val="none"/>
        </w:rPr>
      </w:pPr>
      <w:r>
        <w:rPr>
          <w:rFonts w:ascii="仿宋" w:hAnsi="仿宋" w:eastAsia="仿宋" w:cs="仿宋"/>
          <w:sz w:val="24"/>
          <w:highlight w:val="none"/>
        </w:rPr>
        <w:br w:type="page"/>
      </w:r>
    </w:p>
    <w:p w14:paraId="0A2A1EA0">
      <w:pPr>
        <w:jc w:val="left"/>
        <w:rPr>
          <w:rFonts w:ascii="仿宋" w:hAnsi="仿宋" w:eastAsia="仿宋" w:cs="仿宋"/>
          <w:sz w:val="24"/>
          <w:highlight w:val="none"/>
        </w:rPr>
      </w:pPr>
    </w:p>
    <w:p w14:paraId="6E48912D">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4DA15376">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183156AA">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3A1535F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6CD42E78">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5934D6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58D554F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40577E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4452730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6B059C5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0AAED09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5B19D7E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5B28B9EE">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1FC11E6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3135" w:type="dxa"/>
            <w:tcBorders>
              <w:top w:val="nil"/>
              <w:left w:val="nil"/>
              <w:bottom w:val="nil"/>
              <w:right w:val="nil"/>
            </w:tcBorders>
            <w:shd w:val="clear" w:color="auto" w:fill="auto"/>
            <w:noWrap/>
            <w:vAlign w:val="bottom"/>
          </w:tcPr>
          <w:p w14:paraId="0CD69C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77A5F83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E207B32">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E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7D1BD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075B7639">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173E6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7371C0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2E0BD6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6A836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4B9AC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1FC9469B">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408EA7A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7ACC92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05610C0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0B7883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379FCD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F1C66C2">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79C411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34636D0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1B164CE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09DBF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11C5706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925D989">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6A2F8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49E17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1FA9A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66E7B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3FFC7FBB">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46C43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67D3BA1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797B53C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710F2E5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424F2F04">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CD1A82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4E79D28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D8DE9B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4A7E02A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76F44C6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AC35D34">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5D501B6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57518B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71D1CB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740B4FA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26616F1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6D861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w:t>
      </w:r>
      <w:r>
        <w:rPr>
          <w:rFonts w:hint="eastAsia" w:ascii="宋体" w:hAnsi="宋体" w:eastAsia="宋体" w:cs="宋体"/>
          <w:color w:val="000000"/>
          <w:kern w:val="0"/>
          <w:sz w:val="22"/>
          <w:szCs w:val="22"/>
          <w:highlight w:val="none"/>
          <w:lang w:eastAsia="zh-CN" w:bidi="ar"/>
        </w:rPr>
        <w:t>。</w:t>
      </w:r>
    </w:p>
    <w:p w14:paraId="77175770">
      <w:pPr>
        <w:keepNext w:val="0"/>
        <w:keepLines w:val="0"/>
        <w:widowControl/>
        <w:suppressLineNumbers w:val="0"/>
        <w:spacing w:before="0" w:beforeAutospacing="0" w:after="0" w:afterAutospacing="0"/>
        <w:ind w:left="0" w:right="0" w:firstLine="640" w:firstLineChars="200"/>
        <w:jc w:val="left"/>
        <w:textAlignment w:val="center"/>
        <w:rPr>
          <w:rFonts w:hint="eastAsia" w:ascii="宋体" w:hAnsi="宋体" w:eastAsia="宋体" w:cs="宋体"/>
          <w:color w:val="000000"/>
          <w:kern w:val="0"/>
          <w:sz w:val="22"/>
          <w:szCs w:val="22"/>
          <w:highlight w:val="none"/>
          <w:lang w:bidi="ar"/>
        </w:rPr>
      </w:pPr>
      <w:r>
        <w:rPr>
          <w:rFonts w:hint="eastAsia" w:ascii="仿宋_GB2312" w:hAnsi="仿宋_GB2312" w:eastAsia="仿宋_GB2312" w:cs="仿宋_GB2312"/>
          <w:color w:val="auto"/>
          <w:kern w:val="2"/>
          <w:sz w:val="32"/>
          <w:szCs w:val="32"/>
          <w:lang w:val="en-US" w:eastAsia="zh-CN" w:bidi="ar"/>
        </w:rPr>
        <w:t>本部门2022年度没有国有资本经营预算财政拨款收入，也没有国有资本经营预算财政拨款安排的支出，故本表无数据。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24964369">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1ABE31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7C83DAC8">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56CA7FDB">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17F5B70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09DF59C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5FE0F661">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26EA56D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781250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2D93B3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5DFA95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6DB421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21C7FED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178B16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62C1AC1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5C973A5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6EEE31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6BD8703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382CFD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3690210B">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555525EF">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广西河池市中国共产党环江毛南族自治县纪律检查委员会</w:t>
            </w:r>
          </w:p>
        </w:tc>
        <w:tc>
          <w:tcPr>
            <w:tcW w:w="1066" w:type="dxa"/>
            <w:tcBorders>
              <w:top w:val="nil"/>
              <w:left w:val="nil"/>
              <w:bottom w:val="nil"/>
              <w:right w:val="nil"/>
            </w:tcBorders>
            <w:shd w:val="clear" w:color="auto" w:fill="auto"/>
            <w:noWrap/>
            <w:vAlign w:val="bottom"/>
          </w:tcPr>
          <w:p w14:paraId="762B59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5D6FA7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1D9750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4392C3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7C0E17D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E88D0D6">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735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47E60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015EC832">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662B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663C7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62E85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7A451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32F1F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244EA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06B6D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226FF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7F6F3389">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36807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4D60F5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23A68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755AC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6E4E9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71E7D2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0D3E64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29E298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7BF98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0BC719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067DD4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1CAE34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F8C8B6D">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58CDF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3D8FB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6F8D2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4F259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52863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6B298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693FD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20E866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369D04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7B8C57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4A1B6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19F05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3A1B4A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4D4A2462">
        <w:tblPrEx>
          <w:tblCellMar>
            <w:top w:w="0" w:type="dxa"/>
            <w:left w:w="108" w:type="dxa"/>
            <w:bottom w:w="0" w:type="dxa"/>
            <w:right w:w="108" w:type="dxa"/>
          </w:tblCellMar>
        </w:tblPrEx>
        <w:trPr>
          <w:gridAfter w:val="1"/>
          <w:wAfter w:w="17" w:type="dxa"/>
          <w:trHeight w:val="1107"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762A7E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49.07</w:t>
            </w:r>
          </w:p>
        </w:tc>
        <w:tc>
          <w:tcPr>
            <w:tcW w:w="1425" w:type="dxa"/>
            <w:tcBorders>
              <w:top w:val="nil"/>
              <w:left w:val="nil"/>
              <w:bottom w:val="single" w:color="000000" w:sz="4" w:space="0"/>
              <w:right w:val="single" w:color="000000" w:sz="4" w:space="0"/>
            </w:tcBorders>
            <w:shd w:val="clear" w:color="auto" w:fill="auto"/>
            <w:noWrap/>
            <w:vAlign w:val="center"/>
          </w:tcPr>
          <w:p w14:paraId="7CA88A4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451A503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4AEC550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26.46</w:t>
            </w:r>
          </w:p>
        </w:tc>
        <w:tc>
          <w:tcPr>
            <w:tcW w:w="1133" w:type="dxa"/>
            <w:tcBorders>
              <w:top w:val="nil"/>
              <w:left w:val="nil"/>
              <w:bottom w:val="single" w:color="000000" w:sz="4" w:space="0"/>
              <w:right w:val="single" w:color="000000" w:sz="4" w:space="0"/>
            </w:tcBorders>
            <w:shd w:val="clear" w:color="auto" w:fill="auto"/>
            <w:noWrap/>
            <w:vAlign w:val="center"/>
          </w:tcPr>
          <w:p w14:paraId="56DE25C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18.58</w:t>
            </w:r>
          </w:p>
        </w:tc>
        <w:tc>
          <w:tcPr>
            <w:tcW w:w="1040" w:type="dxa"/>
            <w:tcBorders>
              <w:top w:val="nil"/>
              <w:left w:val="nil"/>
              <w:bottom w:val="single" w:color="000000" w:sz="4" w:space="0"/>
              <w:right w:val="single" w:color="000000" w:sz="4" w:space="0"/>
            </w:tcBorders>
            <w:shd w:val="clear" w:color="auto" w:fill="auto"/>
            <w:noWrap/>
            <w:vAlign w:val="center"/>
          </w:tcPr>
          <w:p w14:paraId="6E16B2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4.03</w:t>
            </w:r>
          </w:p>
        </w:tc>
        <w:tc>
          <w:tcPr>
            <w:tcW w:w="1066" w:type="dxa"/>
            <w:tcBorders>
              <w:top w:val="nil"/>
              <w:left w:val="nil"/>
              <w:bottom w:val="single" w:color="000000" w:sz="4" w:space="0"/>
              <w:right w:val="single" w:color="000000" w:sz="4" w:space="0"/>
            </w:tcBorders>
            <w:shd w:val="clear" w:color="auto" w:fill="auto"/>
            <w:noWrap/>
            <w:vAlign w:val="center"/>
          </w:tcPr>
          <w:p w14:paraId="7A21967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49.07</w:t>
            </w:r>
          </w:p>
        </w:tc>
        <w:tc>
          <w:tcPr>
            <w:tcW w:w="1161" w:type="dxa"/>
            <w:tcBorders>
              <w:top w:val="nil"/>
              <w:left w:val="nil"/>
              <w:bottom w:val="single" w:color="000000" w:sz="4" w:space="0"/>
              <w:right w:val="single" w:color="000000" w:sz="4" w:space="0"/>
            </w:tcBorders>
            <w:shd w:val="clear" w:color="auto" w:fill="auto"/>
            <w:noWrap/>
            <w:vAlign w:val="center"/>
          </w:tcPr>
          <w:p w14:paraId="15110D7F">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67944BBE">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0449DA0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26.46</w:t>
            </w:r>
          </w:p>
        </w:tc>
        <w:tc>
          <w:tcPr>
            <w:tcW w:w="1133" w:type="dxa"/>
            <w:tcBorders>
              <w:top w:val="nil"/>
              <w:left w:val="nil"/>
              <w:bottom w:val="single" w:color="000000" w:sz="4" w:space="0"/>
              <w:right w:val="single" w:color="000000" w:sz="4" w:space="0"/>
            </w:tcBorders>
            <w:shd w:val="clear" w:color="auto" w:fill="auto"/>
            <w:noWrap/>
            <w:vAlign w:val="center"/>
          </w:tcPr>
          <w:p w14:paraId="0E8ED0CA">
            <w:pPr>
              <w:keepNext w:val="0"/>
              <w:keepLines w:val="0"/>
              <w:suppressLineNumbers w:val="0"/>
              <w:spacing w:before="0" w:beforeAutospacing="0" w:after="0" w:afterAutospacing="0"/>
              <w:ind w:left="0" w:leftChars="0" w:right="0" w:rightChars="0"/>
              <w:jc w:val="right"/>
              <w:rPr>
                <w:rFonts w:hint="default"/>
                <w:highlight w:val="none"/>
              </w:rPr>
            </w:pPr>
            <w:r>
              <w:rPr>
                <w:rFonts w:hint="eastAsia" w:ascii="宋体" w:hAnsi="宋体" w:eastAsia="宋体" w:cs="宋体"/>
                <w:color w:val="000000"/>
                <w:sz w:val="22"/>
                <w:szCs w:val="22"/>
                <w:highlight w:val="none"/>
                <w:lang w:val="en-US" w:eastAsia="zh-CN"/>
              </w:rPr>
              <w:t>18.58</w:t>
            </w:r>
          </w:p>
        </w:tc>
        <w:tc>
          <w:tcPr>
            <w:tcW w:w="1073" w:type="dxa"/>
            <w:tcBorders>
              <w:top w:val="nil"/>
              <w:left w:val="nil"/>
              <w:bottom w:val="single" w:color="000000" w:sz="4" w:space="0"/>
              <w:right w:val="single" w:color="000000" w:sz="4" w:space="0"/>
            </w:tcBorders>
            <w:shd w:val="clear" w:color="auto" w:fill="auto"/>
            <w:noWrap/>
            <w:vAlign w:val="center"/>
          </w:tcPr>
          <w:p w14:paraId="4EE2BCC3">
            <w:pPr>
              <w:keepNext w:val="0"/>
              <w:keepLines w:val="0"/>
              <w:suppressLineNumbers w:val="0"/>
              <w:spacing w:before="0" w:beforeAutospacing="0" w:after="0" w:afterAutospacing="0"/>
              <w:ind w:left="0" w:leftChars="0" w:right="0" w:rightChars="0"/>
              <w:jc w:val="center"/>
              <w:rPr>
                <w:rFonts w:hint="default"/>
                <w:lang w:val="en-US" w:eastAsia="zh-CN"/>
              </w:rPr>
            </w:pPr>
            <w:r>
              <w:rPr>
                <w:rFonts w:hint="eastAsia" w:ascii="宋体" w:hAnsi="宋体" w:eastAsia="宋体" w:cs="宋体"/>
                <w:color w:val="000000"/>
                <w:sz w:val="22"/>
                <w:szCs w:val="22"/>
                <w:highlight w:val="none"/>
                <w:lang w:val="en-US" w:eastAsia="zh-CN"/>
              </w:rPr>
              <w:t>4.03</w:t>
            </w:r>
          </w:p>
        </w:tc>
      </w:tr>
      <w:tr w14:paraId="0D83A26C">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40443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1A711A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2CAF217D">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2E55B3F0">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14:paraId="6D2C121E">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14:paraId="6D4AECF8">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highlight w:val="none"/>
          <w:lang w:val="en-US" w:eastAsia="zh-CN"/>
        </w:rPr>
        <w:t>1730.07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1730.07</w:t>
      </w:r>
      <w:r>
        <w:rPr>
          <w:rFonts w:hint="eastAsia" w:ascii="仿宋" w:hAnsi="仿宋" w:eastAsia="仿宋" w:cs="仿宋"/>
          <w:sz w:val="32"/>
          <w:szCs w:val="32"/>
          <w:highlight w:val="none"/>
        </w:rPr>
        <w:t>万元。收入具体情况如下。</w:t>
      </w:r>
    </w:p>
    <w:p w14:paraId="6CF98B63">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1.一般公共预算财政拨款收入1730.07万元，为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kern w:val="2"/>
          <w:sz w:val="32"/>
          <w:szCs w:val="32"/>
          <w:highlight w:val="none"/>
          <w:lang w:val="en-US" w:eastAsia="zh-CN" w:bidi="ar"/>
        </w:rPr>
        <w:t>，</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本年度有在职在编人员增加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工资增资及增加了人员基本养老保险缴费、住房公积金</w:t>
      </w:r>
      <w:r>
        <w:rPr>
          <w:rFonts w:hint="eastAsia" w:ascii="仿宋_GB2312" w:hAnsi="仿宋_GB2312" w:eastAsia="仿宋_GB2312" w:cs="仿宋_GB2312"/>
          <w:kern w:val="0"/>
          <w:sz w:val="32"/>
          <w:szCs w:val="32"/>
          <w:lang w:eastAsia="zh-CN"/>
        </w:rPr>
        <w:t>。</w:t>
      </w:r>
    </w:p>
    <w:p w14:paraId="6CE23AC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511153A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512E5E2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1E60D79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74736B5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0.00万,较2021年度决算数</w:t>
      </w:r>
      <w:r>
        <w:rPr>
          <w:rFonts w:hint="eastAsia" w:ascii="仿宋" w:hAnsi="仿宋" w:eastAsia="仿宋" w:cs="仿宋"/>
          <w:sz w:val="32"/>
          <w:u w:color="auto"/>
          <w:lang w:val="en-US" w:eastAsia="zh-CN"/>
        </w:rPr>
        <w:t>无变化。</w:t>
      </w:r>
    </w:p>
    <w:p w14:paraId="6D0DA97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5DAC744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1C6A0E6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1D2F40CF">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u w:color="auto"/>
          <w:lang w:val="en-US" w:eastAsia="zh-CN"/>
        </w:rPr>
        <w:t>无变化。</w:t>
      </w:r>
    </w:p>
    <w:p w14:paraId="6A5CB0F4">
      <w:pPr>
        <w:autoSpaceDE w:val="0"/>
        <w:autoSpaceDN w:val="0"/>
        <w:adjustRightInd w:val="0"/>
        <w:spacing w:line="56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（二）本部门2022年</w:t>
      </w:r>
      <w:r>
        <w:rPr>
          <w:rFonts w:hint="eastAsia" w:ascii="仿宋" w:hAnsi="仿宋" w:eastAsia="仿宋" w:cs="仿宋"/>
          <w:kern w:val="2"/>
          <w:sz w:val="32"/>
          <w:szCs w:val="32"/>
          <w:highlight w:val="none"/>
          <w:lang w:val="en-US" w:eastAsia="zh-CN" w:bidi="ar"/>
        </w:rPr>
        <w:t>度总支出1730.07万元，其中本年支出1730.07万元，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支出具体情况如下：</w:t>
      </w:r>
    </w:p>
    <w:p w14:paraId="08BE062E">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_GB2312" w:hAnsi="仿宋_GB2312" w:eastAsia="仿宋_GB2312" w:cs="仿宋_GB2312"/>
          <w:kern w:val="0"/>
          <w:sz w:val="32"/>
          <w:szCs w:val="32"/>
        </w:rPr>
        <w:t>一般公共服务支出（</w:t>
      </w:r>
      <w:r>
        <w:rPr>
          <w:rFonts w:hint="eastAsia" w:ascii="仿宋_GB2312" w:hAnsi="仿宋_GB2312" w:eastAsia="仿宋_GB2312" w:cs="仿宋_GB2312"/>
          <w:kern w:val="0"/>
          <w:sz w:val="32"/>
          <w:szCs w:val="32"/>
          <w:lang w:val="en-US" w:eastAsia="zh-CN"/>
        </w:rPr>
        <w:t>201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1254.93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主要用于本部门为保证日常运转发生的基本支出和为完成各项工作任务、保障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增加206.68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增长19.72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本年度有在职在编人员增加</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工资增资</w:t>
      </w:r>
      <w:r>
        <w:rPr>
          <w:rFonts w:hint="eastAsia" w:ascii="仿宋_GB2312" w:hAnsi="仿宋_GB2312" w:eastAsia="仿宋_GB2312" w:cs="仿宋_GB2312"/>
          <w:kern w:val="0"/>
          <w:sz w:val="32"/>
          <w:szCs w:val="32"/>
          <w:lang w:eastAsia="zh-CN"/>
        </w:rPr>
        <w:t>。</w:t>
      </w:r>
    </w:p>
    <w:p w14:paraId="625CCA22">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132.32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w:t>
      </w:r>
      <w:r>
        <w:rPr>
          <w:rFonts w:hint="eastAsia" w:ascii="仿宋_GB2312" w:hAnsi="仿宋_GB2312" w:eastAsia="仿宋_GB2312" w:cs="仿宋_GB2312"/>
          <w:kern w:val="0"/>
          <w:sz w:val="32"/>
          <w:szCs w:val="32"/>
        </w:rPr>
        <w:t>在职</w:t>
      </w:r>
      <w:r>
        <w:rPr>
          <w:rFonts w:hint="eastAsia" w:ascii="仿宋_GB2312" w:hAnsi="仿宋_GB2312" w:eastAsia="仿宋_GB2312" w:cs="仿宋_GB2312"/>
          <w:kern w:val="0"/>
          <w:sz w:val="32"/>
          <w:szCs w:val="32"/>
          <w:lang w:val="en-US" w:eastAsia="zh-CN"/>
        </w:rPr>
        <w:t>在编</w:t>
      </w:r>
      <w:r>
        <w:rPr>
          <w:rFonts w:hint="eastAsia" w:ascii="仿宋_GB2312" w:hAnsi="仿宋_GB2312" w:eastAsia="仿宋_GB2312" w:cs="仿宋_GB2312"/>
          <w:kern w:val="0"/>
          <w:sz w:val="32"/>
          <w:szCs w:val="32"/>
        </w:rPr>
        <w:t>职工基本养老保险费。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增加10.91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增长8.99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本年度在职在编人员有增加及养老保险基数调整导致。</w:t>
      </w:r>
    </w:p>
    <w:p w14:paraId="08F22823">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100.25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按照国家政策规定</w:t>
      </w:r>
      <w:r>
        <w:rPr>
          <w:rFonts w:hint="eastAsia" w:ascii="仿宋_GB2312" w:hAnsi="仿宋_GB2312" w:eastAsia="仿宋_GB2312" w:cs="仿宋_GB2312"/>
          <w:kern w:val="0"/>
          <w:sz w:val="32"/>
          <w:szCs w:val="32"/>
          <w:lang w:val="en-US" w:eastAsia="zh-CN"/>
        </w:rPr>
        <w:t>为在职在编职工缴纳</w:t>
      </w:r>
      <w:r>
        <w:rPr>
          <w:rFonts w:hint="eastAsia" w:ascii="仿宋_GB2312" w:hAnsi="仿宋_GB2312" w:eastAsia="仿宋_GB2312" w:cs="仿宋_GB2312"/>
          <w:kern w:val="0"/>
          <w:sz w:val="32"/>
          <w:szCs w:val="32"/>
        </w:rPr>
        <w:t>的住房公积金支出</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w:t>
      </w:r>
      <w:r>
        <w:rPr>
          <w:rFonts w:hint="eastAsia" w:ascii="仿宋" w:hAnsi="仿宋" w:eastAsia="仿宋" w:cs="仿宋"/>
          <w:sz w:val="32"/>
          <w:szCs w:val="32"/>
          <w:highlight w:val="none"/>
          <w:lang w:val="en-US" w:eastAsia="zh-CN" w:bidi="ar"/>
        </w:rPr>
        <w:t>加9.43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增长10.38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本年度在职在编职工有增加及</w:t>
      </w:r>
      <w:r>
        <w:rPr>
          <w:rFonts w:hint="eastAsia" w:ascii="仿宋_GB2312" w:hAnsi="仿宋_GB2312" w:eastAsia="仿宋_GB2312" w:cs="仿宋_GB2312"/>
          <w:kern w:val="0"/>
          <w:sz w:val="32"/>
          <w:szCs w:val="32"/>
        </w:rPr>
        <w:t>住房</w:t>
      </w:r>
      <w:r>
        <w:rPr>
          <w:rFonts w:hint="eastAsia" w:ascii="仿宋_GB2312" w:hAnsi="仿宋_GB2312" w:eastAsia="仿宋_GB2312" w:cs="仿宋_GB2312"/>
          <w:kern w:val="0"/>
          <w:sz w:val="32"/>
          <w:szCs w:val="32"/>
          <w:lang w:val="en-US" w:eastAsia="zh-CN"/>
        </w:rPr>
        <w:t>公积金基数调整导致。</w:t>
      </w:r>
    </w:p>
    <w:p w14:paraId="111D17DD">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其他支出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229</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242.57</w:t>
      </w:r>
      <w:r>
        <w:rPr>
          <w:rFonts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上年在职职工</w:t>
      </w:r>
      <w:r>
        <w:rPr>
          <w:rFonts w:hint="eastAsia" w:ascii="仿宋_GB2312" w:hAnsi="仿宋_GB2312" w:eastAsia="仿宋_GB2312" w:cs="仿宋_GB2312"/>
          <w:kern w:val="0"/>
          <w:sz w:val="32"/>
          <w:szCs w:val="32"/>
          <w:lang w:val="en-US" w:eastAsia="zh-CN"/>
        </w:rPr>
        <w:t>奖励性补贴</w:t>
      </w:r>
      <w:r>
        <w:rPr>
          <w:rFonts w:hint="eastAsia" w:ascii="仿宋_GB2312" w:hAnsi="仿宋_GB2312" w:eastAsia="仿宋_GB2312" w:cs="仿宋_GB2312"/>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减少32.84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下降11.92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主要原因是：人员的变动及奖励性补贴发放政策的调整。</w:t>
      </w:r>
    </w:p>
    <w:p w14:paraId="1F81ECA6">
      <w:pPr>
        <w:keepNext w:val="0"/>
        <w:keepLines w:val="0"/>
        <w:widowControl w:val="0"/>
        <w:suppressLineNumbers w:val="0"/>
        <w:spacing w:before="0" w:beforeAutospacing="0" w:after="0" w:afterAutospacing="0"/>
        <w:ind w:right="0" w:firstLine="620" w:firstLineChars="200"/>
        <w:jc w:val="left"/>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14:paraId="42D733F0">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default" w:ascii="仿宋" w:hAnsi="仿宋" w:eastAsia="仿宋" w:cs="仿宋"/>
          <w:color w:val="000000" w:themeColor="text1"/>
          <w:sz w:val="32"/>
          <w:szCs w:val="32"/>
          <w:highlight w:val="none"/>
          <w14:textFill>
            <w14:solidFill>
              <w14:schemeClr w14:val="tx1"/>
            </w14:solidFill>
          </w14:textFill>
        </w:rPr>
        <w:t>较202</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default" w:ascii="仿宋" w:hAnsi="仿宋" w:eastAsia="仿宋" w:cs="仿宋"/>
          <w:color w:val="000000" w:themeColor="text1"/>
          <w:sz w:val="32"/>
          <w:szCs w:val="32"/>
          <w:highlight w:val="none"/>
          <w14:textFill>
            <w14:solidFill>
              <w14:schemeClr w14:val="tx1"/>
            </w14:solidFill>
          </w14:textFill>
        </w:rPr>
        <w:t>年决算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无变化。</w:t>
      </w:r>
    </w:p>
    <w:p w14:paraId="2CAA4CDD">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6CFA3D">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14:paraId="759E236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2022年度一般公共预算财政拨款支出</w:t>
      </w:r>
      <w:r>
        <w:rPr>
          <w:rFonts w:hint="eastAsia" w:ascii="仿宋" w:hAnsi="仿宋" w:eastAsia="仿宋" w:cs="仿宋"/>
          <w:kern w:val="2"/>
          <w:sz w:val="32"/>
          <w:szCs w:val="32"/>
          <w:highlight w:val="none"/>
          <w:lang w:val="en-US" w:eastAsia="zh-CN" w:bidi="ar"/>
        </w:rPr>
        <w:t>1730.07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增加192.18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增长12.50</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1418.49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311.58</w:t>
      </w:r>
      <w:r>
        <w:rPr>
          <w:rFonts w:hint="eastAsia" w:ascii="仿宋" w:hAnsi="仿宋" w:eastAsia="仿宋" w:cs="仿宋"/>
          <w:sz w:val="32"/>
          <w:szCs w:val="32"/>
          <w:highlight w:val="none"/>
        </w:rPr>
        <w:t>万元。</w:t>
      </w:r>
    </w:p>
    <w:p w14:paraId="24EA9891">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kern w:val="2"/>
          <w:sz w:val="32"/>
          <w:szCs w:val="32"/>
          <w:highlight w:val="none"/>
          <w:lang w:val="en-US" w:eastAsia="zh-CN" w:bidi="ar"/>
        </w:rPr>
        <w:t>1730.07</w:t>
      </w:r>
      <w:r>
        <w:rPr>
          <w:rFonts w:hint="eastAsia" w:ascii="仿宋" w:hAnsi="仿宋" w:eastAsia="仿宋" w:cs="仿宋"/>
          <w:sz w:val="32"/>
          <w:szCs w:val="32"/>
          <w:highlight w:val="none"/>
        </w:rPr>
        <w:t>万元，支出决算为</w:t>
      </w:r>
      <w:r>
        <w:rPr>
          <w:rFonts w:hint="eastAsia" w:ascii="仿宋" w:hAnsi="仿宋" w:eastAsia="仿宋" w:cs="仿宋"/>
          <w:kern w:val="2"/>
          <w:sz w:val="32"/>
          <w:szCs w:val="32"/>
          <w:highlight w:val="none"/>
          <w:lang w:val="en-US" w:eastAsia="zh-CN" w:bidi="ar"/>
        </w:rPr>
        <w:t>1730.07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4" w:name="OLE_LINK2"/>
      <w:bookmarkEnd w:id="4"/>
    </w:p>
    <w:p w14:paraId="2D1AC073">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kern w:val="0"/>
          <w:sz w:val="32"/>
          <w:szCs w:val="32"/>
        </w:rPr>
        <w:t>一般公共服务支出（</w:t>
      </w:r>
      <w:r>
        <w:rPr>
          <w:rFonts w:hint="eastAsia" w:ascii="仿宋_GB2312" w:hAnsi="仿宋_GB2312" w:eastAsia="仿宋_GB2312" w:cs="仿宋_GB2312"/>
          <w:kern w:val="0"/>
          <w:sz w:val="32"/>
          <w:szCs w:val="32"/>
          <w:lang w:val="en-US" w:eastAsia="zh-CN"/>
        </w:rPr>
        <w:t>201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1098.52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1254.94</w:t>
      </w:r>
      <w:r>
        <w:rPr>
          <w:rFonts w:hint="eastAsia" w:ascii="仿宋" w:hAnsi="仿宋" w:eastAsia="仿宋"/>
          <w:sz w:val="32"/>
          <w:szCs w:val="32"/>
          <w:highlight w:val="none"/>
        </w:rPr>
        <w:t>万元，完成年初预算</w:t>
      </w:r>
      <w:r>
        <w:rPr>
          <w:rFonts w:hint="eastAsia" w:ascii="仿宋_GB2312" w:hAnsi="仿宋_GB2312" w:eastAsia="仿宋_GB2312" w:cs="仿宋_GB2312"/>
          <w:kern w:val="0"/>
          <w:sz w:val="32"/>
          <w:szCs w:val="32"/>
          <w:lang w:val="en-US" w:eastAsia="zh-CN"/>
        </w:rPr>
        <w:t>的114.24%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原因是：本年度单位人员的增加、工资正常增资以及工作调整导致。</w:t>
      </w:r>
    </w:p>
    <w:p w14:paraId="558CE96C">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803"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1263"/>
        <w:gridCol w:w="994"/>
        <w:gridCol w:w="1088"/>
        <w:gridCol w:w="1050"/>
        <w:gridCol w:w="1548"/>
        <w:gridCol w:w="1825"/>
      </w:tblGrid>
      <w:tr w14:paraId="1981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407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A4D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B78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63E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ABA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C66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4AC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C0E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7DD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2011101</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B2BE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E2EE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938.05</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651D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1,172.12</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AA2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124.95%</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4955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职工工资福利的发放以及单位的日常运转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2AD0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本年度单位人员的增加以及工资正常增资导致</w:t>
            </w:r>
          </w:p>
        </w:tc>
      </w:tr>
      <w:tr w14:paraId="155D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6CBE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2011103</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61C5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598A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7D4A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D11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250%</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F08F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2021年底新购置车辆的入户费、保险等费用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2759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车辆购置在年底，2022年度预算已经编制完成</w:t>
            </w:r>
          </w:p>
        </w:tc>
      </w:tr>
      <w:tr w14:paraId="3EA5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CB27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2011105</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DEC4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派驻派出机构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56B8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E1A7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4.85</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C33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97%</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4C33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派驻组人员的办公费及差旅费等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6557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本年出差次数相对减少</w:t>
            </w:r>
          </w:p>
        </w:tc>
      </w:tr>
      <w:tr w14:paraId="088C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015A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2011106</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EBCF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巡视工作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5343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19.00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1A0B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19.00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777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100.00%</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5831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县委巡察办每年两轮的巡察开支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24C4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按年初计划完成</w:t>
            </w:r>
          </w:p>
        </w:tc>
      </w:tr>
      <w:tr w14:paraId="65EF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5832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2011199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2FCB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其他纪检监察事务支出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2C31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120.00</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0724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40.00</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3B3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33.33%</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8F80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用于企业教育基地租金及办案支出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7272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因未正式签署合同，故未支付</w:t>
            </w:r>
          </w:p>
        </w:tc>
      </w:tr>
      <w:tr w14:paraId="5EAA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E142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2012999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9940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84AC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16.47</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17B5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16.47</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9B9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100.00%</w:t>
            </w: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8470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CD50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按年初计划完成</w:t>
            </w:r>
          </w:p>
        </w:tc>
      </w:tr>
      <w:tr w14:paraId="46E1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0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747B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ED2E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B961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1098.52</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D7E3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1254.94</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C39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54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352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4F2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p>
        </w:tc>
      </w:tr>
    </w:tbl>
    <w:p w14:paraId="7F3A209A">
      <w:pPr>
        <w:jc w:val="left"/>
        <w:rPr>
          <w:rFonts w:hint="eastAsia" w:ascii="仿宋" w:hAnsi="仿宋" w:eastAsia="仿宋"/>
          <w:sz w:val="32"/>
          <w:szCs w:val="32"/>
          <w:highlight w:val="none"/>
        </w:rPr>
      </w:pPr>
    </w:p>
    <w:p w14:paraId="7E5D5C52">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065175">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131.74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132.32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原因是：本年度在职在编人员有增加及养老基数调整导致</w:t>
      </w:r>
      <w:r>
        <w:rPr>
          <w:rFonts w:hint="eastAsia" w:ascii="仿宋" w:hAnsi="仿宋" w:eastAsia="仿宋" w:cs="仿宋"/>
          <w:color w:val="FF0000"/>
          <w:kern w:val="2"/>
          <w:sz w:val="32"/>
          <w:szCs w:val="32"/>
          <w:highlight w:val="none"/>
          <w:lang w:val="en-US" w:eastAsia="zh-CN" w:bidi="ar"/>
        </w:rPr>
        <w:t>。</w:t>
      </w:r>
    </w:p>
    <w:p w14:paraId="01C12C9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B47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ADC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C02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E63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D78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FE6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1D9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3BB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977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011F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01DB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37F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36C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A26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2D9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lang w:val="en-US" w:eastAsia="zh-CN"/>
              </w:rPr>
              <w:t>缴纳在职在编职工基本养老保险费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EEBB1C">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本年度在职在编人员有增加及养老保险基数调整导致。</w:t>
            </w:r>
          </w:p>
          <w:p w14:paraId="3EC64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47F3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F2C2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DD09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58D0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17306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8A3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A0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D6E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D692E25">
      <w:pPr>
        <w:jc w:val="left"/>
        <w:rPr>
          <w:rFonts w:hint="eastAsia" w:ascii="仿宋" w:hAnsi="仿宋" w:eastAsia="仿宋"/>
          <w:sz w:val="32"/>
          <w:szCs w:val="32"/>
          <w:highlight w:val="none"/>
        </w:rPr>
      </w:pPr>
    </w:p>
    <w:p w14:paraId="44371A4E">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D8848F">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98.81</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100.25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101.46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kern w:val="0"/>
          <w:sz w:val="32"/>
          <w:szCs w:val="32"/>
          <w:lang w:val="en-US" w:eastAsia="zh-CN"/>
        </w:rPr>
        <w:t>本年度在职在编职工有增加及</w:t>
      </w:r>
      <w:r>
        <w:rPr>
          <w:rFonts w:hint="eastAsia" w:ascii="仿宋_GB2312" w:hAnsi="仿宋_GB2312" w:eastAsia="仿宋_GB2312" w:cs="仿宋_GB2312"/>
          <w:kern w:val="0"/>
          <w:sz w:val="32"/>
          <w:szCs w:val="32"/>
        </w:rPr>
        <w:t>住房</w:t>
      </w:r>
      <w:r>
        <w:rPr>
          <w:rFonts w:hint="eastAsia" w:ascii="仿宋_GB2312" w:hAnsi="仿宋_GB2312" w:eastAsia="仿宋_GB2312" w:cs="仿宋_GB2312"/>
          <w:kern w:val="0"/>
          <w:sz w:val="32"/>
          <w:szCs w:val="32"/>
          <w:lang w:val="en-US" w:eastAsia="zh-CN"/>
        </w:rPr>
        <w:t>公积金基数调整导致。</w:t>
      </w:r>
    </w:p>
    <w:p w14:paraId="10F5DBA7">
      <w:pPr>
        <w:keepNext w:val="0"/>
        <w:keepLines w:val="0"/>
        <w:pageBreakBefore w:val="0"/>
        <w:widowControl w:val="0"/>
        <w:kinsoku/>
        <w:wordWrap/>
        <w:overflowPunct/>
        <w:topLinePunct w:val="0"/>
        <w:autoSpaceDE/>
        <w:autoSpaceDN/>
        <w:bidi w:val="0"/>
        <w:adjustRightInd/>
        <w:snapToGrid/>
        <w:spacing w:before="313" w:beforeLines="100" w:line="60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730"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1076"/>
        <w:gridCol w:w="994"/>
        <w:gridCol w:w="806"/>
        <w:gridCol w:w="1097"/>
        <w:gridCol w:w="1765"/>
        <w:gridCol w:w="1890"/>
      </w:tblGrid>
      <w:tr w14:paraId="6663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6B1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533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5BE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82E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000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BB9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9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41F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F37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9221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3297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sz w:val="20"/>
                <w:szCs w:val="20"/>
                <w:highlight w:val="none"/>
                <w:lang w:bidi="ar"/>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087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AA5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076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101.46%</w:t>
            </w: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CF2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_GB2312" w:hAnsi="仿宋_GB2312" w:eastAsia="仿宋_GB2312" w:cs="仿宋_GB2312"/>
                <w:kern w:val="0"/>
                <w:sz w:val="20"/>
                <w:szCs w:val="20"/>
              </w:rPr>
              <w:t>按照国家政策规定</w:t>
            </w:r>
            <w:r>
              <w:rPr>
                <w:rFonts w:hint="eastAsia" w:ascii="仿宋_GB2312" w:hAnsi="仿宋_GB2312" w:eastAsia="仿宋_GB2312" w:cs="仿宋_GB2312"/>
                <w:kern w:val="0"/>
                <w:sz w:val="20"/>
                <w:szCs w:val="20"/>
                <w:lang w:val="en-US" w:eastAsia="zh-CN"/>
              </w:rPr>
              <w:t>为在职在编职工缴纳</w:t>
            </w:r>
            <w:r>
              <w:rPr>
                <w:rFonts w:hint="eastAsia" w:ascii="仿宋_GB2312" w:hAnsi="仿宋_GB2312" w:eastAsia="仿宋_GB2312" w:cs="仿宋_GB2312"/>
                <w:kern w:val="0"/>
                <w:sz w:val="20"/>
                <w:szCs w:val="20"/>
              </w:rPr>
              <w:t>的住房公积金支出</w:t>
            </w:r>
          </w:p>
        </w:tc>
        <w:tc>
          <w:tcPr>
            <w:tcW w:w="189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A6A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_GB2312" w:hAnsi="仿宋_GB2312" w:eastAsia="仿宋_GB2312" w:cs="仿宋_GB2312"/>
                <w:kern w:val="0"/>
                <w:sz w:val="20"/>
                <w:szCs w:val="20"/>
                <w:lang w:val="en-US" w:eastAsia="zh-CN"/>
              </w:rPr>
              <w:t>本年度在职在编职工有增加及</w:t>
            </w:r>
            <w:r>
              <w:rPr>
                <w:rFonts w:hint="eastAsia" w:ascii="仿宋_GB2312" w:hAnsi="仿宋_GB2312" w:eastAsia="仿宋_GB2312" w:cs="仿宋_GB2312"/>
                <w:kern w:val="0"/>
                <w:sz w:val="20"/>
                <w:szCs w:val="20"/>
              </w:rPr>
              <w:t>住房</w:t>
            </w:r>
            <w:r>
              <w:rPr>
                <w:rFonts w:hint="eastAsia" w:ascii="仿宋_GB2312" w:hAnsi="仿宋_GB2312" w:eastAsia="仿宋_GB2312" w:cs="仿宋_GB2312"/>
                <w:kern w:val="0"/>
                <w:sz w:val="20"/>
                <w:szCs w:val="20"/>
                <w:lang w:val="en-US" w:eastAsia="zh-CN"/>
              </w:rPr>
              <w:t>公积金基数调整导致</w:t>
            </w:r>
          </w:p>
        </w:tc>
      </w:tr>
      <w:tr w14:paraId="4A5C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0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D40B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406F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40BC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90170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6C6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B9C9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9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10C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FDBB5D9">
      <w:pPr>
        <w:jc w:val="center"/>
        <w:rPr>
          <w:rFonts w:hint="eastAsia" w:ascii="仿宋" w:hAnsi="仿宋" w:eastAsia="仿宋" w:cs="仿宋"/>
          <w:sz w:val="32"/>
          <w:szCs w:val="32"/>
          <w:highlight w:val="none"/>
        </w:rPr>
      </w:pPr>
    </w:p>
    <w:p w14:paraId="30A3895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46BF38">
      <w:pPr>
        <w:pStyle w:val="2"/>
        <w:rPr>
          <w:rFonts w:hint="eastAsia" w:ascii="仿宋" w:hAnsi="仿宋" w:eastAsia="仿宋" w:cs="仿宋"/>
          <w:sz w:val="32"/>
          <w:szCs w:val="32"/>
          <w:highlight w:val="none"/>
        </w:rPr>
      </w:pPr>
    </w:p>
    <w:p w14:paraId="0A0A1439"/>
    <w:p w14:paraId="3AC8FAA6">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lang w:val="en-US" w:eastAsia="zh-CN"/>
        </w:rPr>
        <w:t>其他</w:t>
      </w:r>
      <w:r>
        <w:rPr>
          <w:rFonts w:hint="eastAsia" w:ascii="仿宋" w:hAnsi="仿宋" w:eastAsia="仿宋"/>
          <w:sz w:val="32"/>
          <w:szCs w:val="32"/>
          <w:highlight w:val="none"/>
        </w:rPr>
        <w:t>支出</w:t>
      </w:r>
      <w:r>
        <w:rPr>
          <w:rFonts w:ascii="仿宋" w:hAnsi="仿宋" w:eastAsia="仿宋"/>
          <w:sz w:val="32"/>
          <w:u w:color="auto"/>
        </w:rPr>
        <w:t>（</w:t>
      </w:r>
      <w:r>
        <w:rPr>
          <w:rFonts w:hint="eastAsia" w:ascii="仿宋" w:hAnsi="仿宋" w:eastAsia="仿宋"/>
          <w:sz w:val="32"/>
          <w:u w:color="auto"/>
          <w:lang w:val="en-US" w:eastAsia="zh-CN"/>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242.57</w:t>
      </w:r>
      <w:r>
        <w:rPr>
          <w:rFonts w:hint="eastAsia" w:ascii="仿宋" w:hAnsi="仿宋" w:eastAsia="仿宋"/>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原因是：根据工作需要年中追加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奖励性补贴的发放。</w:t>
      </w:r>
    </w:p>
    <w:p w14:paraId="2CA5CCF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6432C3A5">
      <w:pPr>
        <w:pStyle w:val="2"/>
        <w:rPr>
          <w:rFonts w:hint="eastAsia" w:ascii="仿宋" w:hAnsi="仿宋" w:eastAsia="仿宋"/>
          <w:sz w:val="32"/>
          <w:szCs w:val="32"/>
          <w:highlight w:val="none"/>
        </w:rPr>
      </w:pPr>
    </w:p>
    <w:p w14:paraId="5DD3F006">
      <w:pPr>
        <w:rPr>
          <w:rFonts w:hint="eastAsia"/>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1890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09E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7E3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25A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70D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0FD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582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9A3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C89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9677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1F69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A02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44B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6D2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242.57%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740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rPr>
              <w:t>上年在职职工</w:t>
            </w:r>
            <w:r>
              <w:rPr>
                <w:rFonts w:hint="eastAsia" w:ascii="仿宋_GB2312" w:hAnsi="仿宋_GB2312" w:eastAsia="仿宋_GB2312" w:cs="仿宋_GB2312"/>
                <w:kern w:val="0"/>
                <w:sz w:val="20"/>
                <w:szCs w:val="20"/>
                <w:lang w:val="en-US" w:eastAsia="zh-CN"/>
              </w:rPr>
              <w:t>奖励性补贴</w:t>
            </w:r>
            <w:r>
              <w:rPr>
                <w:rFonts w:hint="eastAsia" w:ascii="仿宋_GB2312" w:hAnsi="仿宋_GB2312" w:eastAsia="仿宋_GB2312" w:cs="仿宋_GB2312"/>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53A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0"/>
                <w:szCs w:val="20"/>
                <w:lang w:val="en-US" w:eastAsia="zh-CN"/>
              </w:rPr>
              <w:t>根据工作需要年中追加奖励性补贴的发放</w:t>
            </w:r>
          </w:p>
        </w:tc>
      </w:tr>
      <w:tr w14:paraId="7F2A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3AC3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2C19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15B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88C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4CA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AE1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D36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DBA00BC">
      <w:pPr>
        <w:jc w:val="left"/>
        <w:rPr>
          <w:rFonts w:hint="eastAsia" w:ascii="仿宋" w:hAnsi="仿宋" w:eastAsia="仿宋"/>
          <w:sz w:val="32"/>
          <w:szCs w:val="32"/>
          <w:highlight w:val="none"/>
        </w:rPr>
      </w:pPr>
    </w:p>
    <w:p w14:paraId="26530C10">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66E4CC">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14:paraId="29AA2E6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1418.49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1357.02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61.46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1C1F135D">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1315.20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136.69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本年度在职在编职工的增加、工资正常调资及职工养老、公积金基数调整等导致的。</w:t>
      </w:r>
    </w:p>
    <w:p w14:paraId="67EAB645">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372.57万元，30102津贴补贴287.96万元，30103奖金341.13万元，30106伙食补助费15.30万元，30107绩效工资3.03万元，30108机关事业单位基本养老保险缴费132.32万元，30110职工基本医疗保险缴费54.14万元，30112其他社会保障缴费6.81万元，30114医疗费0.5万元，30113住房公积金100.25万元，30199其他工资福利支出1.19万元。</w:t>
      </w:r>
    </w:p>
    <w:p w14:paraId="4C52300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5885F">
      <w:pPr>
        <w:jc w:val="both"/>
        <w:rPr>
          <w:rFonts w:hint="eastAsia" w:ascii="仿宋" w:hAnsi="仿宋" w:eastAsia="仿宋" w:cs="仿宋"/>
          <w:sz w:val="32"/>
          <w:szCs w:val="32"/>
          <w:highlight w:val="none"/>
        </w:rPr>
      </w:pPr>
    </w:p>
    <w:p w14:paraId="71EF09FC">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61.46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104.22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主要原因是：因工作需要，年中追加经费。</w:t>
      </w:r>
    </w:p>
    <w:p w14:paraId="27927A57">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4.20万元，30202印刷费0.44万元，30205水费0.07万元，30206电费0.11万元，30207邮电费11.87万元，30209物业管理费0.69万元，30211差旅费6.37万元，30218专用材料费0.44万元，30226劳务费3.22万元，30228工会经费17.64万元，30231公务用车运行维护费14.32万元，30239其他交通费1.78万元，30299其他商品和服务支出0.32万元。</w:t>
      </w:r>
    </w:p>
    <w:p w14:paraId="4EA4558B">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114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10FB4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420" w:firstLineChars="0"/>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41.83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344.28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主要原因是：本年度有一名病逝的退休人员，增加了抚恤金导致。</w:t>
      </w:r>
    </w:p>
    <w:p w14:paraId="10D601C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30304抚恤金26.76万元，30305生活补助13.74万元，30309奖励金0.04万元，30399其他对个人和家庭的补助1.29万元。</w:t>
      </w:r>
    </w:p>
    <w:p w14:paraId="4BD54B2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441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6AC440">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14:paraId="1DE96093">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14:paraId="558E122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val="en-US" w:eastAsia="zh-CN"/>
        </w:rPr>
        <w:t>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无变化。</w:t>
      </w:r>
    </w:p>
    <w:p w14:paraId="1E5FBEB6">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14:paraId="70101DD8">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我单位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750A162F">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14:paraId="0A35410E">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我单位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5"/>
    </w:p>
    <w:p w14:paraId="4A879861">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06C920F7">
      <w:pPr>
        <w:autoSpaceDE w:val="0"/>
        <w:autoSpaceDN w:val="0"/>
        <w:adjustRightInd w:val="0"/>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49.07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13.69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rPr>
        <w:t>本年</w:t>
      </w:r>
      <w:r>
        <w:rPr>
          <w:rFonts w:hint="eastAsia" w:ascii="仿宋_GB2312" w:hAnsi="仿宋_GB2312" w:eastAsia="仿宋_GB2312" w:cs="仿宋_GB2312"/>
          <w:bCs/>
          <w:spacing w:val="6"/>
          <w:kern w:val="0"/>
          <w:sz w:val="32"/>
          <w:szCs w:val="32"/>
          <w:lang w:val="en-US" w:eastAsia="zh-CN"/>
        </w:rPr>
        <w:t>度</w:t>
      </w:r>
      <w:r>
        <w:rPr>
          <w:rFonts w:hint="eastAsia" w:ascii="仿宋_GB2312" w:hAnsi="仿宋_GB2312" w:eastAsia="仿宋_GB2312" w:cs="仿宋_GB2312"/>
          <w:bCs/>
          <w:spacing w:val="6"/>
          <w:kern w:val="0"/>
          <w:sz w:val="32"/>
          <w:szCs w:val="32"/>
        </w:rPr>
        <w:t>更新购置</w:t>
      </w:r>
      <w:r>
        <w:rPr>
          <w:rFonts w:hint="eastAsia" w:ascii="仿宋_GB2312" w:hAnsi="仿宋_GB2312" w:eastAsia="仿宋_GB2312" w:cs="仿宋_GB2312"/>
          <w:bCs/>
          <w:spacing w:val="6"/>
          <w:kern w:val="0"/>
          <w:sz w:val="32"/>
          <w:szCs w:val="32"/>
          <w:lang w:val="en-US" w:eastAsia="zh-CN"/>
        </w:rPr>
        <w:t>了一辆混合动力新能源车</w:t>
      </w:r>
      <w:r>
        <w:rPr>
          <w:rFonts w:hint="eastAsia" w:ascii="仿宋_GB2312" w:hAnsi="仿宋_GB2312" w:eastAsia="仿宋_GB2312" w:cs="仿宋_GB2312"/>
          <w:bCs/>
          <w:spacing w:val="6"/>
          <w:kern w:val="0"/>
          <w:sz w:val="32"/>
          <w:szCs w:val="32"/>
        </w:rPr>
        <w:t>。</w:t>
      </w:r>
    </w:p>
    <w:p w14:paraId="23DB7875">
      <w:pPr>
        <w:keepNext w:val="0"/>
        <w:keepLines w:val="0"/>
        <w:widowControl w:val="0"/>
        <w:suppressLineNumbers w:val="0"/>
        <w:spacing w:before="0" w:beforeAutospacing="0" w:after="0" w:afterAutospacing="0"/>
        <w:ind w:right="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45.04</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4.03</w:t>
      </w:r>
      <w:r>
        <w:rPr>
          <w:rFonts w:hint="eastAsia" w:ascii="仿宋" w:hAnsi="仿宋" w:eastAsia="仿宋" w:cs="仿宋"/>
          <w:sz w:val="32"/>
          <w:szCs w:val="32"/>
          <w:highlight w:val="none"/>
        </w:rPr>
        <w:t>万元。</w:t>
      </w:r>
    </w:p>
    <w:p w14:paraId="305F539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4ABF1B83">
      <w:pPr>
        <w:numPr>
          <w:ilvl w:val="0"/>
          <w:numId w:val="4"/>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75DED4C0">
      <w:pPr>
        <w:autoSpaceDE w:val="0"/>
        <w:autoSpaceDN w:val="0"/>
        <w:adjustRightInd w:val="0"/>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45.04</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26.46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14.16</w:t>
      </w:r>
      <w:r>
        <w:rPr>
          <w:rFonts w:hint="eastAsia" w:ascii="仿宋" w:hAnsi="仿宋" w:eastAsia="仿宋" w:cs="仿宋"/>
          <w:sz w:val="32"/>
          <w:szCs w:val="32"/>
          <w:highlight w:val="none"/>
        </w:rPr>
        <w:t>万元。</w:t>
      </w:r>
      <w:r>
        <w:rPr>
          <w:rFonts w:hint="eastAsia" w:ascii="仿宋_GB2312" w:hAnsi="仿宋_GB2312" w:eastAsia="仿宋_GB2312" w:cs="仿宋_GB2312"/>
          <w:bCs/>
          <w:spacing w:val="6"/>
          <w:kern w:val="0"/>
          <w:sz w:val="32"/>
          <w:szCs w:val="32"/>
        </w:rPr>
        <w:t>主要原因是本年更新购置的车型</w:t>
      </w:r>
      <w:r>
        <w:rPr>
          <w:rFonts w:hint="eastAsia" w:ascii="仿宋_GB2312" w:hAnsi="仿宋_GB2312" w:eastAsia="仿宋_GB2312" w:cs="仿宋_GB2312"/>
          <w:bCs/>
          <w:spacing w:val="6"/>
          <w:kern w:val="0"/>
          <w:sz w:val="32"/>
          <w:szCs w:val="32"/>
          <w:lang w:val="en-US" w:eastAsia="zh-CN"/>
        </w:rPr>
        <w:t>为混合动力新能源车，与上年</w:t>
      </w:r>
      <w:r>
        <w:rPr>
          <w:rFonts w:hint="eastAsia" w:ascii="仿宋_GB2312" w:hAnsi="仿宋_GB2312" w:eastAsia="仿宋_GB2312" w:cs="仿宋_GB2312"/>
          <w:bCs/>
          <w:spacing w:val="6"/>
          <w:kern w:val="0"/>
          <w:sz w:val="32"/>
          <w:szCs w:val="32"/>
        </w:rPr>
        <w:t>不同。</w:t>
      </w:r>
    </w:p>
    <w:p w14:paraId="401CD490">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18.58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2.96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lang w:val="en-US" w:eastAsia="zh-CN"/>
        </w:rPr>
        <w:t>外出办案及监督检查的次数增多。</w:t>
      </w:r>
    </w:p>
    <w:p w14:paraId="1BDF5692">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4.03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95.95</w:t>
      </w:r>
      <w:r>
        <w:rPr>
          <w:rFonts w:hint="eastAsia" w:ascii="仿宋" w:hAnsi="仿宋" w:eastAsia="仿宋" w:cs="仿宋"/>
          <w:sz w:val="32"/>
          <w:szCs w:val="32"/>
          <w:highlight w:val="none"/>
        </w:rPr>
        <w:t>%， 比上年增加</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主要原因是：上级督察检查的次数增多以及结算上年未能支付的款项。</w:t>
      </w:r>
    </w:p>
    <w:p w14:paraId="3BB83267">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33B49812">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1F23352B">
      <w:pPr>
        <w:autoSpaceDE w:val="0"/>
        <w:autoSpaceDN w:val="0"/>
        <w:adjustRightInd w:val="0"/>
        <w:spacing w:line="560" w:lineRule="exact"/>
        <w:ind w:firstLine="640" w:firstLineChars="200"/>
        <w:rPr>
          <w:rFonts w:hint="eastAsia" w:ascii="仿宋_GB2312" w:hAnsi="仿宋_GB2312" w:eastAsia="仿宋_GB2312" w:cs="仿宋_GB2312"/>
          <w:bCs/>
          <w:spacing w:val="6"/>
          <w:kern w:val="0"/>
          <w:sz w:val="32"/>
          <w:szCs w:val="32"/>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61.46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无增减变动</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26.65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增长76.55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_GB2312" w:hAnsi="仿宋_GB2312" w:eastAsia="仿宋_GB2312" w:cs="仿宋_GB2312"/>
          <w:bCs/>
          <w:spacing w:val="6"/>
          <w:kern w:val="0"/>
          <w:sz w:val="32"/>
          <w:szCs w:val="32"/>
        </w:rPr>
        <w:t>主要原因是：人员的变动及根据办案工作需要。</w:t>
      </w:r>
    </w:p>
    <w:p w14:paraId="4172FD39">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2AF3B489">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50.97</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49.80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1.17</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50.97</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7F273AA9">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36194A3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val="en-US" w:eastAsia="zh-CN"/>
        </w:rPr>
        <w:t>均为</w:t>
      </w:r>
      <w:r>
        <w:rPr>
          <w:rFonts w:hint="eastAsia" w:ascii="仿宋" w:hAnsi="仿宋" w:eastAsia="仿宋" w:cs="仿宋"/>
          <w:sz w:val="32"/>
          <w:szCs w:val="32"/>
          <w:highlight w:val="none"/>
        </w:rPr>
        <w:t>执法执勤用车；单位价值50万元以上通用设备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1F0BB2A5">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7366BDB4">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02BCB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_GB2312" w:hAnsi="仿宋_GB2312" w:eastAsia="仿宋_GB2312" w:cs="仿宋_GB2312"/>
          <w:i w:val="0"/>
          <w:iCs w:val="0"/>
          <w:caps w:val="0"/>
          <w:color w:val="auto"/>
          <w:spacing w:val="0"/>
          <w:sz w:val="32"/>
          <w:szCs w:val="32"/>
        </w:rPr>
        <w:t>2022年本单位</w:t>
      </w:r>
      <w:r>
        <w:rPr>
          <w:rFonts w:hint="eastAsia" w:ascii="仿宋_GB2312" w:hAnsi="仿宋_GB2312" w:eastAsia="仿宋_GB2312" w:cs="仿宋_GB2312"/>
          <w:color w:val="auto"/>
          <w:sz w:val="32"/>
          <w:szCs w:val="32"/>
          <w:lang w:eastAsia="zh-CN"/>
        </w:rPr>
        <w:t>项目资金有</w:t>
      </w:r>
      <w:r>
        <w:rPr>
          <w:rFonts w:hint="eastAsia" w:ascii="仿宋_GB2312" w:hAnsi="仿宋_GB2312" w:eastAsia="仿宋_GB2312" w:cs="仿宋_GB2312"/>
          <w:color w:val="auto"/>
          <w:sz w:val="32"/>
          <w:szCs w:val="32"/>
          <w:lang w:val="en-US" w:eastAsia="zh-CN"/>
        </w:rPr>
        <w:t>12个项目，</w:t>
      </w:r>
      <w:r>
        <w:rPr>
          <w:rFonts w:hint="eastAsia" w:ascii="仿宋_GB2312" w:hAnsi="仿宋_GB2312" w:eastAsia="仿宋_GB2312" w:cs="仿宋_GB2312"/>
          <w:color w:val="auto"/>
          <w:sz w:val="32"/>
          <w:szCs w:val="32"/>
          <w:lang w:eastAsia="zh-CN"/>
        </w:rPr>
        <w:t>年初预算数</w:t>
      </w:r>
      <w:r>
        <w:rPr>
          <w:rFonts w:hint="eastAsia" w:ascii="仿宋_GB2312" w:hAnsi="仿宋_GB2312" w:eastAsia="仿宋_GB2312" w:cs="仿宋_GB2312"/>
          <w:color w:val="auto"/>
          <w:sz w:val="32"/>
          <w:szCs w:val="32"/>
          <w:lang w:val="en-US" w:eastAsia="zh-CN"/>
        </w:rPr>
        <w:t>214.40</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年中预算</w:t>
      </w:r>
      <w:r>
        <w:rPr>
          <w:rFonts w:hint="eastAsia" w:ascii="仿宋_GB2312" w:hAnsi="仿宋_GB2312" w:eastAsia="仿宋_GB2312" w:cs="仿宋_GB2312"/>
          <w:i w:val="0"/>
          <w:iCs w:val="0"/>
          <w:caps w:val="0"/>
          <w:color w:val="auto"/>
          <w:spacing w:val="0"/>
          <w:sz w:val="32"/>
          <w:szCs w:val="32"/>
          <w:lang w:eastAsia="zh-CN"/>
        </w:rPr>
        <w:t>调整数</w:t>
      </w:r>
      <w:r>
        <w:rPr>
          <w:rFonts w:hint="eastAsia" w:ascii="仿宋_GB2312" w:hAnsi="仿宋_GB2312" w:eastAsia="仿宋_GB2312" w:cs="仿宋_GB2312"/>
          <w:i w:val="0"/>
          <w:iCs w:val="0"/>
          <w:caps w:val="0"/>
          <w:color w:val="auto"/>
          <w:spacing w:val="0"/>
          <w:sz w:val="32"/>
          <w:szCs w:val="32"/>
          <w:lang w:val="en-US" w:eastAsia="zh-CN"/>
        </w:rPr>
        <w:t>316.52</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，调整后预算数</w:t>
      </w:r>
      <w:r>
        <w:rPr>
          <w:rFonts w:hint="eastAsia" w:ascii="仿宋_GB2312" w:hAnsi="仿宋_GB2312" w:eastAsia="仿宋_GB2312" w:cs="仿宋_GB2312"/>
          <w:i w:val="0"/>
          <w:iCs w:val="0"/>
          <w:caps w:val="0"/>
          <w:color w:val="auto"/>
          <w:spacing w:val="0"/>
          <w:sz w:val="32"/>
          <w:szCs w:val="32"/>
          <w:lang w:val="en-US" w:eastAsia="zh-CN"/>
        </w:rPr>
        <w:t>530.92万元，全年执行数395.60万元，平均预算执行率74.51%</w:t>
      </w:r>
      <w:r>
        <w:rPr>
          <w:rFonts w:hint="eastAsia" w:ascii="仿宋_GB2312" w:hAnsi="仿宋_GB2312" w:eastAsia="仿宋_GB2312" w:cs="仿宋_GB2312"/>
          <w:i w:val="0"/>
          <w:iCs w:val="0"/>
          <w:caps w:val="0"/>
          <w:color w:val="auto"/>
          <w:spacing w:val="0"/>
          <w:sz w:val="32"/>
          <w:szCs w:val="32"/>
        </w:rPr>
        <w:t>。</w:t>
      </w:r>
      <w:r>
        <w:rPr>
          <w:rFonts w:hint="eastAsia" w:ascii="仿宋" w:hAnsi="仿宋" w:eastAsia="仿宋" w:cs="仿宋"/>
          <w:color w:val="000000" w:themeColor="text1"/>
          <w:sz w:val="32"/>
          <w:szCs w:val="32"/>
          <w14:textFill>
            <w14:solidFill>
              <w14:schemeClr w14:val="tx1"/>
            </w14:solidFill>
          </w14:textFill>
        </w:rPr>
        <w:t>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三等项目2个</w:t>
      </w:r>
      <w:r>
        <w:rPr>
          <w:rFonts w:hint="eastAsia" w:ascii="仿宋" w:hAnsi="仿宋" w:eastAsia="仿宋" w:cs="仿宋"/>
          <w:color w:val="000000" w:themeColor="text1"/>
          <w:sz w:val="32"/>
          <w:szCs w:val="32"/>
          <w14:textFill>
            <w14:solidFill>
              <w14:schemeClr w14:val="tx1"/>
            </w14:solidFill>
          </w14:textFill>
        </w:rPr>
        <w:t>。</w:t>
      </w:r>
    </w:p>
    <w:p w14:paraId="1FAD699B">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left="0" w:leftChars="0" w:right="0" w:righ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本部门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395.60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i w:val="0"/>
          <w:iCs w:val="0"/>
          <w:caps w:val="0"/>
          <w:color w:val="333333"/>
          <w:spacing w:val="0"/>
          <w:sz w:val="32"/>
          <w:szCs w:val="32"/>
        </w:rPr>
        <w:t>通过这次自评，进一步提高了我</w:t>
      </w:r>
      <w:r>
        <w:rPr>
          <w:rFonts w:hint="eastAsia" w:ascii="仿宋_GB2312" w:hAnsi="仿宋_GB2312" w:eastAsia="仿宋_GB2312" w:cs="仿宋_GB2312"/>
          <w:i w:val="0"/>
          <w:iCs w:val="0"/>
          <w:caps w:val="0"/>
          <w:color w:val="333333"/>
          <w:spacing w:val="0"/>
          <w:sz w:val="32"/>
          <w:szCs w:val="32"/>
          <w:lang w:eastAsia="zh-CN"/>
        </w:rPr>
        <w:t>单位</w:t>
      </w:r>
      <w:r>
        <w:rPr>
          <w:rFonts w:hint="eastAsia" w:ascii="仿宋_GB2312" w:hAnsi="仿宋_GB2312" w:eastAsia="仿宋_GB2312" w:cs="仿宋_GB2312"/>
          <w:i w:val="0"/>
          <w:iCs w:val="0"/>
          <w:caps w:val="0"/>
          <w:color w:val="333333"/>
          <w:spacing w:val="0"/>
          <w:sz w:val="32"/>
          <w:szCs w:val="32"/>
        </w:rPr>
        <w:t>的</w:t>
      </w:r>
      <w:r>
        <w:rPr>
          <w:rFonts w:hint="eastAsia" w:ascii="仿宋_GB2312" w:hAnsi="仿宋_GB2312" w:eastAsia="仿宋_GB2312" w:cs="仿宋_GB2312"/>
          <w:i w:val="0"/>
          <w:iCs w:val="0"/>
          <w:caps w:val="0"/>
          <w:color w:val="333333"/>
          <w:spacing w:val="0"/>
          <w:sz w:val="32"/>
          <w:szCs w:val="32"/>
          <w:lang w:val="en-US" w:eastAsia="zh-CN"/>
        </w:rPr>
        <w:t>预算</w:t>
      </w:r>
      <w:r>
        <w:rPr>
          <w:rFonts w:hint="eastAsia" w:ascii="仿宋_GB2312" w:hAnsi="仿宋_GB2312" w:eastAsia="仿宋_GB2312" w:cs="仿宋_GB2312"/>
          <w:i w:val="0"/>
          <w:iCs w:val="0"/>
          <w:caps w:val="0"/>
          <w:color w:val="333333"/>
          <w:spacing w:val="0"/>
          <w:sz w:val="32"/>
          <w:szCs w:val="32"/>
        </w:rPr>
        <w:t>绩效管理水平</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我们将</w:t>
      </w:r>
      <w:r>
        <w:rPr>
          <w:rFonts w:hint="eastAsia" w:ascii="仿宋_GB2312" w:hAnsi="仿宋_GB2312" w:eastAsia="仿宋_GB2312" w:cs="仿宋_GB2312"/>
          <w:i w:val="0"/>
          <w:iCs w:val="0"/>
          <w:caps w:val="0"/>
          <w:color w:val="333333"/>
          <w:spacing w:val="0"/>
          <w:sz w:val="32"/>
          <w:szCs w:val="32"/>
        </w:rPr>
        <w:t>吸取经验，改进工作，</w:t>
      </w:r>
      <w:r>
        <w:rPr>
          <w:rFonts w:hint="eastAsia" w:ascii="仿宋_GB2312" w:hAnsi="仿宋_GB2312" w:eastAsia="仿宋_GB2312" w:cs="仿宋_GB2312"/>
          <w:i w:val="0"/>
          <w:iCs w:val="0"/>
          <w:caps w:val="0"/>
          <w:color w:val="333333"/>
          <w:spacing w:val="0"/>
          <w:sz w:val="32"/>
          <w:szCs w:val="32"/>
          <w:lang w:val="en-US" w:eastAsia="zh-CN"/>
        </w:rPr>
        <w:t>让以后的预算编制工作更加精准合理，</w:t>
      </w:r>
      <w:r>
        <w:rPr>
          <w:rFonts w:hint="eastAsia" w:ascii="仿宋_GB2312" w:hAnsi="仿宋_GB2312" w:eastAsia="仿宋_GB2312" w:cs="仿宋_GB2312"/>
          <w:i w:val="0"/>
          <w:iCs w:val="0"/>
          <w:caps w:val="0"/>
          <w:color w:val="333333"/>
          <w:spacing w:val="0"/>
          <w:sz w:val="32"/>
          <w:szCs w:val="32"/>
        </w:rPr>
        <w:t>让工作与绩效目标匹配。</w:t>
      </w:r>
    </w:p>
    <w:p w14:paraId="7994BBC5">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172BF6A6">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left="0"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12个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99.27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_GB2312" w:hAnsi="仿宋_GB2312" w:eastAsia="仿宋_GB2312" w:cs="仿宋_GB2312"/>
          <w:i w:val="0"/>
          <w:iCs w:val="0"/>
          <w:caps w:val="0"/>
          <w:color w:val="333333"/>
          <w:spacing w:val="0"/>
          <w:sz w:val="32"/>
          <w:szCs w:val="32"/>
          <w:lang w:val="en-US" w:eastAsia="zh-CN"/>
        </w:rPr>
        <w:t>一是</w:t>
      </w:r>
      <w:r>
        <w:rPr>
          <w:rFonts w:hint="eastAsia" w:ascii="仿宋_GB2312" w:hAnsi="仿宋_GB2312" w:eastAsia="仿宋_GB2312" w:cs="仿宋_GB2312"/>
          <w:i w:val="0"/>
          <w:iCs w:val="0"/>
          <w:caps w:val="0"/>
          <w:color w:val="333333"/>
          <w:spacing w:val="0"/>
          <w:sz w:val="32"/>
          <w:szCs w:val="32"/>
        </w:rPr>
        <w:t>年初部门预算编制</w:t>
      </w:r>
      <w:r>
        <w:rPr>
          <w:rFonts w:hint="eastAsia" w:ascii="仿宋_GB2312" w:hAnsi="仿宋_GB2312" w:eastAsia="仿宋_GB2312" w:cs="仿宋_GB2312"/>
          <w:i w:val="0"/>
          <w:iCs w:val="0"/>
          <w:caps w:val="0"/>
          <w:color w:val="333333"/>
          <w:spacing w:val="0"/>
          <w:sz w:val="32"/>
          <w:szCs w:val="32"/>
          <w:lang w:val="en-US" w:eastAsia="zh-CN"/>
        </w:rPr>
        <w:t>精准度、</w:t>
      </w:r>
      <w:r>
        <w:rPr>
          <w:rFonts w:hint="eastAsia" w:ascii="仿宋_GB2312" w:hAnsi="仿宋_GB2312" w:eastAsia="仿宋_GB2312" w:cs="仿宋_GB2312"/>
          <w:i w:val="0"/>
          <w:iCs w:val="0"/>
          <w:caps w:val="0"/>
          <w:color w:val="333333"/>
          <w:spacing w:val="0"/>
          <w:sz w:val="32"/>
          <w:szCs w:val="32"/>
        </w:rPr>
        <w:t>细化程度不够，导致在执行总体绩效目标是部分存在偏差，致使项目预算存在年中、年末追加追减的现象。</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i w:val="0"/>
          <w:iCs w:val="0"/>
          <w:caps w:val="0"/>
          <w:color w:val="333333"/>
          <w:spacing w:val="0"/>
          <w:sz w:val="32"/>
          <w:szCs w:val="32"/>
          <w:lang w:eastAsia="zh-CN"/>
        </w:rPr>
        <w:t>指标完成情况</w:t>
      </w:r>
      <w:r>
        <w:rPr>
          <w:rFonts w:hint="eastAsia" w:ascii="仿宋_GB2312" w:hAnsi="仿宋_GB2312" w:eastAsia="仿宋_GB2312" w:cs="仿宋_GB2312"/>
          <w:i w:val="0"/>
          <w:iCs w:val="0"/>
          <w:caps w:val="0"/>
          <w:color w:val="333333"/>
          <w:spacing w:val="0"/>
          <w:sz w:val="32"/>
          <w:szCs w:val="32"/>
        </w:rPr>
        <w:t>中的数量指标、质量指标、成本指标很难确定，经济效益、社会效益、生态效益等难以量化，绩效目标的设定和执行之间难免出现偏差。</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_GB2312" w:hAnsi="仿宋_GB2312" w:eastAsia="仿宋_GB2312" w:cs="仿宋_GB2312"/>
          <w:i w:val="0"/>
          <w:iCs w:val="0"/>
          <w:caps w:val="0"/>
          <w:color w:val="333333"/>
          <w:spacing w:val="0"/>
          <w:sz w:val="32"/>
          <w:szCs w:val="32"/>
        </w:rPr>
        <w:t>加强预算编制的合理性。严格按</w:t>
      </w:r>
      <w:r>
        <w:rPr>
          <w:rFonts w:hint="eastAsia" w:ascii="仿宋_GB2312" w:hAnsi="仿宋_GB2312" w:eastAsia="仿宋_GB2312" w:cs="仿宋_GB2312"/>
          <w:i w:val="0"/>
          <w:iCs w:val="0"/>
          <w:caps w:val="0"/>
          <w:color w:val="333333"/>
          <w:spacing w:val="0"/>
          <w:sz w:val="32"/>
          <w:szCs w:val="32"/>
          <w:lang w:eastAsia="zh-CN"/>
        </w:rPr>
        <w:t>县</w:t>
      </w:r>
      <w:r>
        <w:rPr>
          <w:rFonts w:hint="eastAsia" w:ascii="仿宋_GB2312" w:hAnsi="仿宋_GB2312" w:eastAsia="仿宋_GB2312" w:cs="仿宋_GB2312"/>
          <w:i w:val="0"/>
          <w:iCs w:val="0"/>
          <w:caps w:val="0"/>
          <w:color w:val="333333"/>
          <w:spacing w:val="0"/>
          <w:sz w:val="32"/>
          <w:szCs w:val="32"/>
        </w:rPr>
        <w:t>本级部门预算编报程序进行编制，基本支出预算按照单位的基础信息和核定的标准编制，保证单位的正常运转；项目支出预算根据单位发展规划和年度计划，结合财政部门预算安排情况，科学细化项目。</w:t>
      </w:r>
      <w:r>
        <w:rPr>
          <w:rFonts w:hint="eastAsia" w:ascii="仿宋" w:hAnsi="仿宋" w:eastAsia="仿宋" w:cs="仿宋"/>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i w:val="0"/>
          <w:iCs w:val="0"/>
          <w:caps w:val="0"/>
          <w:color w:val="333333"/>
          <w:spacing w:val="0"/>
          <w:sz w:val="32"/>
          <w:szCs w:val="32"/>
          <w:lang w:val="en-US" w:eastAsia="zh-CN"/>
        </w:rPr>
        <w:t>加强</w:t>
      </w:r>
      <w:r>
        <w:rPr>
          <w:rFonts w:hint="eastAsia" w:ascii="仿宋_GB2312" w:hAnsi="仿宋_GB2312" w:eastAsia="仿宋_GB2312" w:cs="仿宋_GB2312"/>
          <w:i w:val="0"/>
          <w:iCs w:val="0"/>
          <w:caps w:val="0"/>
          <w:color w:val="333333"/>
          <w:spacing w:val="0"/>
          <w:sz w:val="32"/>
          <w:szCs w:val="32"/>
        </w:rPr>
        <w:t>预算绩效管理工作。</w:t>
      </w:r>
      <w:r>
        <w:rPr>
          <w:rFonts w:hint="eastAsia" w:ascii="仿宋_GB2312" w:hAnsi="仿宋_GB2312" w:eastAsia="仿宋_GB2312" w:cs="仿宋_GB2312"/>
          <w:i w:val="0"/>
          <w:iCs w:val="0"/>
          <w:caps w:val="0"/>
          <w:color w:val="333333"/>
          <w:spacing w:val="0"/>
          <w:sz w:val="32"/>
          <w:szCs w:val="32"/>
          <w:lang w:val="en-US" w:eastAsia="zh-CN"/>
        </w:rPr>
        <w:t>做好</w:t>
      </w:r>
      <w:r>
        <w:rPr>
          <w:rFonts w:hint="eastAsia" w:ascii="仿宋_GB2312" w:hAnsi="仿宋_GB2312" w:eastAsia="仿宋_GB2312" w:cs="仿宋_GB2312"/>
          <w:i w:val="0"/>
          <w:iCs w:val="0"/>
          <w:caps w:val="0"/>
          <w:color w:val="333333"/>
          <w:spacing w:val="0"/>
          <w:sz w:val="32"/>
          <w:szCs w:val="32"/>
        </w:rPr>
        <w:t>事前评价</w:t>
      </w:r>
      <w:r>
        <w:rPr>
          <w:rFonts w:hint="eastAsia" w:ascii="仿宋_GB2312" w:hAnsi="仿宋_GB2312" w:eastAsia="仿宋_GB2312" w:cs="仿宋_GB2312"/>
          <w:i w:val="0"/>
          <w:iCs w:val="0"/>
          <w:caps w:val="0"/>
          <w:color w:val="333333"/>
          <w:spacing w:val="0"/>
          <w:sz w:val="32"/>
          <w:szCs w:val="32"/>
          <w:lang w:val="en-US" w:eastAsia="zh-CN"/>
        </w:rPr>
        <w:t>分析</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val="en-US" w:eastAsia="zh-CN"/>
        </w:rPr>
        <w:t>事中严格遵守自查，事后评价总结。</w:t>
      </w:r>
      <w:r>
        <w:rPr>
          <w:rFonts w:hint="eastAsia" w:ascii="仿宋_GB2312" w:hAnsi="仿宋_GB2312" w:eastAsia="仿宋_GB2312" w:cs="仿宋_GB2312"/>
          <w:i w:val="0"/>
          <w:iCs w:val="0"/>
          <w:caps w:val="0"/>
          <w:color w:val="333333"/>
          <w:spacing w:val="0"/>
          <w:sz w:val="32"/>
          <w:szCs w:val="32"/>
        </w:rPr>
        <w:t>做到预算财务分析常态化，定期做好预算支出财务分析，做好部门整体支出预算评价工作。</w:t>
      </w:r>
    </w:p>
    <w:p w14:paraId="1CCAA4FB">
      <w:pPr>
        <w:pStyle w:val="2"/>
        <w:rPr>
          <w:rFonts w:hint="eastAsia" w:ascii="仿宋_GB2312" w:hAnsi="仿宋_GB2312" w:eastAsia="仿宋_GB2312" w:cs="仿宋_GB2312"/>
          <w:i w:val="0"/>
          <w:iCs w:val="0"/>
          <w:caps w:val="0"/>
          <w:color w:val="333333"/>
          <w:spacing w:val="0"/>
          <w:sz w:val="32"/>
          <w:szCs w:val="32"/>
        </w:rPr>
      </w:pPr>
    </w:p>
    <w:p w14:paraId="7817F46C">
      <w:pPr>
        <w:rPr>
          <w:rFonts w:hint="eastAsia" w:eastAsia="仿宋_GB2312"/>
          <w:lang w:eastAsia="zh-CN"/>
        </w:rPr>
      </w:pPr>
      <w:r>
        <w:rPr>
          <w:rFonts w:hint="eastAsia" w:eastAsia="仿宋_GB2312"/>
          <w:lang w:eastAsia="zh-CN"/>
        </w:rPr>
        <w:object>
          <v:shape id="_x0000_i1025" o:spt="75" type="#_x0000_t75" style="height:40.25pt;width:135.55pt;" o:ole="t" filled="f" o:preferrelative="t" stroked="f" coordsize="21600,21600">
            <v:path/>
            <v:fill on="f" focussize="0,0"/>
            <v:stroke on="f"/>
            <v:imagedata r:id="rId16" o:title=""/>
            <o:lock v:ext="edit" aspectratio="t"/>
            <w10:wrap type="none"/>
            <w10:anchorlock/>
          </v:shape>
          <o:OLEObject Type="Embed" ProgID="Package" ShapeID="_x0000_i1025" DrawAspect="Content" ObjectID="_1468075725" r:id="rId15">
            <o:LockedField>false</o:LockedField>
          </o:OLEObject>
        </w:object>
      </w:r>
    </w:p>
    <w:p w14:paraId="1AC5D5BC">
      <w:pPr>
        <w:jc w:val="left"/>
        <w:rPr>
          <w:rFonts w:hint="eastAsia" w:ascii="仿宋" w:hAnsi="仿宋" w:eastAsia="仿宋" w:cs="仿宋"/>
          <w:sz w:val="32"/>
          <w:szCs w:val="32"/>
          <w:highlight w:val="none"/>
        </w:rPr>
      </w:pPr>
    </w:p>
    <w:p w14:paraId="7B670EEA">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464AE0F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35A7D68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104CA7B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083E114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4D109BB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C2051A7">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336D9ED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6E42909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29FBF6E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4BA2152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24054A8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613B5B2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CF5B1A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C2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328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8328B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D63AF"/>
    <w:multiLevelType w:val="singleLevel"/>
    <w:tmpl w:val="953D63AF"/>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E1912437"/>
    <w:multiLevelType w:val="singleLevel"/>
    <w:tmpl w:val="E191243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A17621"/>
    <w:rsid w:val="07B0770E"/>
    <w:rsid w:val="09105FBE"/>
    <w:rsid w:val="0942143F"/>
    <w:rsid w:val="0D100297"/>
    <w:rsid w:val="0D202B45"/>
    <w:rsid w:val="0DEE4E3E"/>
    <w:rsid w:val="0F8D4C87"/>
    <w:rsid w:val="10505FAA"/>
    <w:rsid w:val="105F7E7E"/>
    <w:rsid w:val="11E56B5B"/>
    <w:rsid w:val="125C77AB"/>
    <w:rsid w:val="14CB726E"/>
    <w:rsid w:val="17D72E94"/>
    <w:rsid w:val="17E92249"/>
    <w:rsid w:val="18D304F1"/>
    <w:rsid w:val="191F211A"/>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6717E1E"/>
    <w:rsid w:val="269E4AB2"/>
    <w:rsid w:val="283D7C94"/>
    <w:rsid w:val="29480E03"/>
    <w:rsid w:val="2983634D"/>
    <w:rsid w:val="2BB02055"/>
    <w:rsid w:val="2C575A56"/>
    <w:rsid w:val="2F257714"/>
    <w:rsid w:val="2F3275E5"/>
    <w:rsid w:val="30AA08EF"/>
    <w:rsid w:val="30D23D1C"/>
    <w:rsid w:val="31221CF5"/>
    <w:rsid w:val="31400178"/>
    <w:rsid w:val="321E3342"/>
    <w:rsid w:val="327759C8"/>
    <w:rsid w:val="33185FE3"/>
    <w:rsid w:val="343D1CFA"/>
    <w:rsid w:val="34EE2E36"/>
    <w:rsid w:val="36777241"/>
    <w:rsid w:val="38A951DB"/>
    <w:rsid w:val="38B31605"/>
    <w:rsid w:val="39003F4F"/>
    <w:rsid w:val="3C07002B"/>
    <w:rsid w:val="3D0D152A"/>
    <w:rsid w:val="3DF62756"/>
    <w:rsid w:val="3F1B7587"/>
    <w:rsid w:val="41E57B4F"/>
    <w:rsid w:val="432F26F6"/>
    <w:rsid w:val="43880F63"/>
    <w:rsid w:val="44054248"/>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014249"/>
    <w:rsid w:val="60F74BC3"/>
    <w:rsid w:val="617D3BF8"/>
    <w:rsid w:val="61841F6A"/>
    <w:rsid w:val="623007A9"/>
    <w:rsid w:val="637D7558"/>
    <w:rsid w:val="644F19AC"/>
    <w:rsid w:val="658B51AD"/>
    <w:rsid w:val="65AA4920"/>
    <w:rsid w:val="67694F1E"/>
    <w:rsid w:val="68E66189"/>
    <w:rsid w:val="69597934"/>
    <w:rsid w:val="6B964DDC"/>
    <w:rsid w:val="6C783074"/>
    <w:rsid w:val="6D9E65C6"/>
    <w:rsid w:val="6DA81947"/>
    <w:rsid w:val="6EB66DE2"/>
    <w:rsid w:val="6ED3075F"/>
    <w:rsid w:val="6F2A2D4B"/>
    <w:rsid w:val="6F870752"/>
    <w:rsid w:val="6F8A0C1E"/>
    <w:rsid w:val="703F45D4"/>
    <w:rsid w:val="715D6546"/>
    <w:rsid w:val="71BE069E"/>
    <w:rsid w:val="739103E7"/>
    <w:rsid w:val="73953409"/>
    <w:rsid w:val="73E069A3"/>
    <w:rsid w:val="77C844C8"/>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#,##0.00</c:formatCode>
                <c:ptCount val="4"/>
                <c:pt idx="0">
                  <c:v>1254.93</c:v>
                </c:pt>
                <c:pt idx="1">
                  <c:v>132.32</c:v>
                </c:pt>
                <c:pt idx="2">
                  <c:v>100.25</c:v>
                </c:pt>
                <c:pt idx="3">
                  <c:v>242.57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#,##0.00</c:formatCode>
                <c:ptCount val="4"/>
                <c:pt idx="0">
                  <c:v>1048.25</c:v>
                </c:pt>
                <c:pt idx="1">
                  <c:v>121.41</c:v>
                </c:pt>
                <c:pt idx="2">
                  <c:v>90.85</c:v>
                </c:pt>
                <c:pt idx="3">
                  <c:v>275.41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e69a20f-b90e-416a-a06f-7253ffb757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manualLayout>
          <c:layoutTarget val="inner"/>
          <c:xMode val="edge"/>
          <c:yMode val="edge"/>
          <c:x val="0.0872144174826167"/>
          <c:y val="0.184241706161137"/>
          <c:w val="0.8794380587484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Sheet1!$A$2:$A$7</c:f>
              <c:numCache>
                <c:formatCode>General</c:formatCode>
                <c:ptCount val="6"/>
                <c:pt idx="0">
                  <c:v>2011101</c:v>
                </c:pt>
                <c:pt idx="1">
                  <c:v>2011103</c:v>
                </c:pt>
                <c:pt idx="2">
                  <c:v>2011105</c:v>
                </c:pt>
                <c:pt idx="3">
                  <c:v>2011106</c:v>
                </c:pt>
                <c:pt idx="4">
                  <c:v>2011199</c:v>
                </c:pt>
                <c:pt idx="5">
                  <c:v>2012999</c:v>
                </c:pt>
              </c:numCache>
            </c:numRef>
          </c:cat>
          <c:val>
            <c:numRef>
              <c:f>Sheet1!$B$2:$B$7</c:f>
              <c:numCache>
                <c:formatCode>General</c:formatCode>
                <c:ptCount val="6"/>
                <c:pt idx="0">
                  <c:v>1172.12</c:v>
                </c:pt>
                <c:pt idx="1">
                  <c:v>2.5</c:v>
                </c:pt>
                <c:pt idx="2">
                  <c:v>4.85</c:v>
                </c:pt>
                <c:pt idx="3">
                  <c:v>19</c:v>
                </c:pt>
                <c:pt idx="4">
                  <c:v>40</c:v>
                </c:pt>
                <c:pt idx="5">
                  <c:v>16.47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fd8ad5-b5e8-4f92-980c-89d01d6fd48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132.32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d5c683-62d7-4b07-9e1c-5177592f350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100.25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72c562-6218-4766-8f8f-f33f6e56522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c:v>
                </c:pt>
              </c:numCache>
            </c:numRef>
          </c:cat>
          <c:val>
            <c:numRef>
              <c:f>Sheet1!$B$2</c:f>
              <c:numCache>
                <c:formatCode>General</c:formatCode>
                <c:ptCount val="1"/>
                <c:pt idx="0">
                  <c:v>242.57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890df0-c7f3-4c05-a33d-334c3d303b4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#,##0.00</c:formatCode>
                <c:ptCount val="13"/>
                <c:pt idx="0">
                  <c:v>372.57</c:v>
                </c:pt>
                <c:pt idx="1">
                  <c:v>287.96</c:v>
                </c:pt>
                <c:pt idx="2">
                  <c:v>341.13</c:v>
                </c:pt>
                <c:pt idx="3">
                  <c:v>15.3</c:v>
                </c:pt>
                <c:pt idx="4">
                  <c:v>3.03</c:v>
                </c:pt>
                <c:pt idx="5">
                  <c:v>132.32</c:v>
                </c:pt>
                <c:pt idx="6">
                  <c:v>0</c:v>
                </c:pt>
                <c:pt idx="7">
                  <c:v>54.14</c:v>
                </c:pt>
                <c:pt idx="8">
                  <c:v>0</c:v>
                </c:pt>
                <c:pt idx="9">
                  <c:v>6.81</c:v>
                </c:pt>
                <c:pt idx="10">
                  <c:v>100.25</c:v>
                </c:pt>
                <c:pt idx="11">
                  <c:v>0.5</c:v>
                </c:pt>
                <c:pt idx="12">
                  <c:v>1.19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c534fa-bee5-452c-86ae-a1942a5d297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#,##0.00</c:formatCode>
                <c:ptCount val="27"/>
                <c:pt idx="0">
                  <c:v>4.2</c:v>
                </c:pt>
                <c:pt idx="1">
                  <c:v>0.44</c:v>
                </c:pt>
                <c:pt idx="2">
                  <c:v>0</c:v>
                </c:pt>
                <c:pt idx="3">
                  <c:v>0</c:v>
                </c:pt>
                <c:pt idx="4">
                  <c:v>0.07</c:v>
                </c:pt>
                <c:pt idx="5">
                  <c:v>0.11</c:v>
                </c:pt>
                <c:pt idx="6">
                  <c:v>11.87</c:v>
                </c:pt>
                <c:pt idx="7">
                  <c:v>0</c:v>
                </c:pt>
                <c:pt idx="8">
                  <c:v>0.69</c:v>
                </c:pt>
                <c:pt idx="9">
                  <c:v>6.37</c:v>
                </c:pt>
                <c:pt idx="10">
                  <c:v>0</c:v>
                </c:pt>
                <c:pt idx="11">
                  <c:v>0</c:v>
                </c:pt>
                <c:pt idx="12">
                  <c:v>0</c:v>
                </c:pt>
                <c:pt idx="13">
                  <c:v>0</c:v>
                </c:pt>
                <c:pt idx="14">
                  <c:v>0</c:v>
                </c:pt>
                <c:pt idx="15">
                  <c:v>0</c:v>
                </c:pt>
                <c:pt idx="16">
                  <c:v>0.44</c:v>
                </c:pt>
                <c:pt idx="17">
                  <c:v>0</c:v>
                </c:pt>
                <c:pt idx="18">
                  <c:v>0</c:v>
                </c:pt>
                <c:pt idx="19">
                  <c:v>3.22</c:v>
                </c:pt>
                <c:pt idx="20">
                  <c:v>0</c:v>
                </c:pt>
                <c:pt idx="21">
                  <c:v>17.64</c:v>
                </c:pt>
                <c:pt idx="22">
                  <c:v>0</c:v>
                </c:pt>
                <c:pt idx="23">
                  <c:v>14.32</c:v>
                </c:pt>
                <c:pt idx="24">
                  <c:v>1.78</c:v>
                </c:pt>
                <c:pt idx="25">
                  <c:v>0</c:v>
                </c:pt>
                <c:pt idx="26">
                  <c:v>0.32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3e4fcd-9752-4230-bbdd-dd4cd2eaa4f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fdb1e9-48fc-47be-9a3a-2d9159a53c7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2634</Words>
  <Characters>3765</Characters>
  <Lines>90</Lines>
  <Paragraphs>25</Paragraphs>
  <TotalTime>14</TotalTime>
  <ScaleCrop>false</ScaleCrop>
  <LinksUpToDate>false</LinksUpToDate>
  <CharactersWithSpaces>3814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WPS_1688032121</cp:lastModifiedBy>
  <dcterms:modified xsi:type="dcterms:W3CDTF">2025-01-20T08:23:49Z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1EDD3126127D4A409006C615CCAEFDC1</vt:lpwstr>
  </property>
  <property fmtid="{D5CDD505-2E9C-101B-9397-08002B2CF9AE}" pid="4" name="KSOTemplateDocerSaveRecord">
    <vt:lpwstr>eyJoZGlkIjoiNDk4YmI2MTU3YjQ5NGM1NGE3NDFiZTVhMWYwZDRiNDciLCJ1c2VySWQiOiIxNTA2MTczMDY4In0=</vt:lpwstr>
  </property>
</Properties>
</file>