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61AAF">
      <w:pPr>
        <w:rPr>
          <w:rFonts w:hint="eastAsia" w:ascii="仿宋_GB2312" w:eastAsia="仿宋_GB2312" w:cs="ArialUnicodeMS"/>
          <w:kern w:val="0"/>
          <w:sz w:val="32"/>
          <w:szCs w:val="32"/>
          <w:lang w:val="en-US" w:eastAsia="zh-CN"/>
        </w:rPr>
      </w:pPr>
      <w:r>
        <w:rPr>
          <w:rFonts w:hint="eastAsia" w:ascii="仿宋_GB2312" w:eastAsia="仿宋_GB2312" w:cs="ArialUnicodeMS"/>
          <w:kern w:val="0"/>
          <w:sz w:val="32"/>
          <w:szCs w:val="32"/>
          <w:lang w:val="en-US" w:eastAsia="zh-CN"/>
        </w:rPr>
        <w:t>+</w:t>
      </w:r>
    </w:p>
    <w:p w14:paraId="1168B70B">
      <w:pPr>
        <w:rPr>
          <w:rFonts w:hint="eastAsia" w:ascii="黑体" w:eastAsia="黑体" w:cs="ArialUnicodeMS"/>
          <w:kern w:val="0"/>
          <w:sz w:val="72"/>
          <w:szCs w:val="72"/>
        </w:rPr>
      </w:pPr>
    </w:p>
    <w:p w14:paraId="774AC22D">
      <w:pPr>
        <w:rPr>
          <w:rFonts w:hint="eastAsia" w:ascii="黑体" w:eastAsia="黑体" w:cs="ArialUnicodeMS"/>
          <w:kern w:val="0"/>
          <w:sz w:val="72"/>
          <w:szCs w:val="72"/>
        </w:rPr>
      </w:pPr>
    </w:p>
    <w:p w14:paraId="18B1FC9E">
      <w:pPr>
        <w:jc w:val="center"/>
        <w:rPr>
          <w:rFonts w:hint="eastAsia" w:ascii="方正小标宋简体" w:eastAsia="方正小标宋简体"/>
          <w:kern w:val="0"/>
          <w:sz w:val="52"/>
          <w:szCs w:val="52"/>
        </w:rPr>
      </w:pPr>
      <w:r>
        <w:rPr>
          <w:rFonts w:hint="eastAsia" w:ascii="黑体" w:hAnsi="黑体" w:eastAsia="黑体" w:cs="黑体"/>
          <w:b/>
          <w:bCs/>
          <w:sz w:val="52"/>
          <w:szCs w:val="52"/>
          <w:highlight w:val="none"/>
          <w:lang w:val="en-US" w:eastAsia="zh-CN"/>
        </w:rPr>
        <w:t>环江毛南族自治县龙岩乡卫生院</w:t>
      </w:r>
    </w:p>
    <w:p w14:paraId="2DCDCA73">
      <w:pPr>
        <w:jc w:val="center"/>
        <w:rPr>
          <w:rFonts w:hint="eastAsia" w:ascii="方正小标宋简体" w:eastAsia="方正小标宋简体" w:cs="ArialUnicodeMS"/>
          <w:kern w:val="0"/>
          <w:sz w:val="52"/>
          <w:szCs w:val="52"/>
        </w:rPr>
      </w:pPr>
      <w:r>
        <w:rPr>
          <w:rFonts w:hint="eastAsia" w:ascii="方正小标宋简体" w:eastAsia="方正小标宋简体"/>
          <w:kern w:val="0"/>
          <w:sz w:val="52"/>
          <w:szCs w:val="52"/>
        </w:rPr>
        <w:t>202</w:t>
      </w:r>
      <w:r>
        <w:rPr>
          <w:rFonts w:hint="eastAsia" w:ascii="方正小标宋简体" w:eastAsia="方正小标宋简体"/>
          <w:kern w:val="0"/>
          <w:sz w:val="52"/>
          <w:szCs w:val="52"/>
          <w:lang w:val="en-US" w:eastAsia="zh-CN"/>
        </w:rPr>
        <w:t>3</w:t>
      </w:r>
      <w:r>
        <w:rPr>
          <w:rFonts w:hint="eastAsia" w:ascii="方正小标宋简体" w:eastAsia="方正小标宋简体" w:cs="ArialUnicodeMS"/>
          <w:kern w:val="0"/>
          <w:sz w:val="52"/>
          <w:szCs w:val="52"/>
        </w:rPr>
        <w:t>年度部门决算</w:t>
      </w:r>
    </w:p>
    <w:p w14:paraId="27C11612">
      <w:pPr>
        <w:rPr>
          <w:rFonts w:hint="eastAsia" w:ascii="方正小标宋简体" w:eastAsia="方正小标宋简体" w:cs="ArialUnicodeMS"/>
          <w:kern w:val="0"/>
          <w:sz w:val="84"/>
          <w:szCs w:val="84"/>
        </w:rPr>
      </w:pPr>
    </w:p>
    <w:p w14:paraId="670DA437">
      <w:pPr>
        <w:rPr>
          <w:rFonts w:hint="eastAsia" w:ascii="ArialUnicodeMS" w:eastAsia="ArialUnicodeMS" w:cs="ArialUnicodeMS"/>
          <w:kern w:val="0"/>
          <w:sz w:val="84"/>
          <w:szCs w:val="84"/>
        </w:rPr>
      </w:pPr>
    </w:p>
    <w:p w14:paraId="6818BC43">
      <w:pPr>
        <w:rPr>
          <w:rFonts w:hint="eastAsia" w:ascii="ArialUnicodeMS" w:eastAsia="ArialUnicodeMS" w:cs="ArialUnicodeMS"/>
          <w:kern w:val="0"/>
          <w:sz w:val="84"/>
          <w:szCs w:val="84"/>
        </w:rPr>
      </w:pPr>
    </w:p>
    <w:p w14:paraId="13959C12">
      <w:pPr>
        <w:rPr>
          <w:rFonts w:hint="eastAsia" w:ascii="ArialUnicodeMS" w:eastAsia="ArialUnicodeMS" w:cs="ArialUnicodeMS"/>
          <w:kern w:val="0"/>
          <w:sz w:val="84"/>
          <w:szCs w:val="84"/>
        </w:rPr>
      </w:pPr>
    </w:p>
    <w:p w14:paraId="3E4224D1">
      <w:pPr>
        <w:rPr>
          <w:rFonts w:hint="eastAsia" w:ascii="ArialUnicodeMS" w:eastAsia="ArialUnicodeMS" w:cs="ArialUnicodeMS"/>
          <w:kern w:val="0"/>
          <w:sz w:val="84"/>
          <w:szCs w:val="84"/>
        </w:rPr>
      </w:pPr>
    </w:p>
    <w:p w14:paraId="3A92E71C">
      <w:pPr>
        <w:jc w:val="center"/>
        <w:rPr>
          <w:rFonts w:hint="eastAsia" w:ascii="黑体" w:eastAsia="黑体" w:cs="黑体"/>
          <w:kern w:val="0"/>
          <w:sz w:val="44"/>
          <w:szCs w:val="44"/>
        </w:rPr>
      </w:pPr>
    </w:p>
    <w:p w14:paraId="32740308">
      <w:pPr>
        <w:jc w:val="center"/>
        <w:rPr>
          <w:rFonts w:hint="eastAsia" w:ascii="黑体" w:eastAsia="黑体" w:cs="黑体"/>
          <w:kern w:val="0"/>
          <w:sz w:val="44"/>
          <w:szCs w:val="44"/>
        </w:rPr>
      </w:pPr>
    </w:p>
    <w:p w14:paraId="41841E93">
      <w:pPr>
        <w:spacing w:line="560" w:lineRule="exact"/>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14:paraId="4A1D4EBD">
      <w:pPr>
        <w:spacing w:line="560" w:lineRule="exact"/>
        <w:ind w:firstLine="645"/>
        <w:rPr>
          <w:rFonts w:hint="eastAsia" w:ascii="仿宋_GB2312" w:eastAsia="仿宋_GB2312"/>
          <w:b/>
          <w:sz w:val="32"/>
          <w:szCs w:val="32"/>
        </w:rPr>
      </w:pPr>
    </w:p>
    <w:p w14:paraId="0AB46B1F">
      <w:pPr>
        <w:spacing w:line="560" w:lineRule="exact"/>
        <w:ind w:firstLine="645"/>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cs="黑体"/>
          <w:sz w:val="32"/>
          <w:lang w:eastAsia="zh-CN"/>
        </w:rPr>
        <w:t>环江毛南族自治县龙岩乡卫生院</w:t>
      </w:r>
      <w:r>
        <w:rPr>
          <w:rFonts w:hint="eastAsia" w:ascii="黑体" w:hAnsi="黑体" w:eastAsia="黑体" w:cs="黑体"/>
          <w:sz w:val="32"/>
          <w:szCs w:val="32"/>
          <w:highlight w:val="none"/>
        </w:rPr>
        <w:t>概况</w:t>
      </w:r>
    </w:p>
    <w:p w14:paraId="5DB67AB8">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14:paraId="7F7135F4">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14:paraId="6284F07B">
      <w:pPr>
        <w:spacing w:line="560" w:lineRule="exact"/>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cs="黑体"/>
          <w:sz w:val="32"/>
          <w:lang w:eastAsia="zh-CN"/>
        </w:rPr>
        <w:t>环江毛南族自治县龙岩乡卫生院</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14:paraId="59DB2199">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14:paraId="2B13FA4E">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14:paraId="1EF62A8A">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14:paraId="53DF5E1B">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7BEF727D">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1B1BCF8F">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14:paraId="1C5BADA1">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0E09C6DD">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01A995D2">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14:paraId="1D7A3F01">
      <w:pPr>
        <w:spacing w:line="560" w:lineRule="exact"/>
        <w:ind w:firstLine="645"/>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cs="Times New Roman"/>
          <w:sz w:val="32"/>
          <w:szCs w:val="32"/>
          <w:lang w:eastAsia="zh-CN"/>
        </w:rPr>
        <w:t>环江毛南族自治县龙岩乡卫生院</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14:paraId="4CE8147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5EF5F16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67C77524">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14:paraId="4AB1BA19">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14:paraId="3B19D5BE">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14:paraId="3194708F">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192CEDC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342699D5">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5EF7E166">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14:paraId="21765DA7">
      <w:pPr>
        <w:spacing w:line="560" w:lineRule="exact"/>
        <w:jc w:val="center"/>
        <w:rPr>
          <w:rFonts w:hint="eastAsia" w:ascii="仿宋_GB2312" w:eastAsia="仿宋_GB2312"/>
        </w:rPr>
      </w:pPr>
    </w:p>
    <w:p w14:paraId="4A426477">
      <w:pPr>
        <w:rPr>
          <w:rFonts w:hint="eastAsia" w:ascii="仿宋_GB2312" w:eastAsia="仿宋_GB2312"/>
          <w:b/>
          <w:sz w:val="32"/>
          <w:szCs w:val="32"/>
        </w:rPr>
      </w:pPr>
    </w:p>
    <w:p w14:paraId="31E6CE93">
      <w:pPr>
        <w:rPr>
          <w:rFonts w:hint="eastAsia" w:ascii="仿宋_GB2312" w:eastAsia="仿宋_GB2312"/>
          <w:b/>
          <w:sz w:val="32"/>
          <w:szCs w:val="32"/>
        </w:rPr>
      </w:pPr>
    </w:p>
    <w:p w14:paraId="510E82AF">
      <w:pPr>
        <w:rPr>
          <w:rFonts w:hint="eastAsia" w:ascii="仿宋_GB2312" w:eastAsia="仿宋_GB2312"/>
          <w:b/>
          <w:sz w:val="32"/>
          <w:szCs w:val="32"/>
        </w:rPr>
      </w:pPr>
    </w:p>
    <w:p w14:paraId="6D6A2C84">
      <w:pPr>
        <w:rPr>
          <w:rFonts w:hint="eastAsia" w:ascii="仿宋_GB2312" w:eastAsia="仿宋_GB2312"/>
          <w:b/>
          <w:sz w:val="32"/>
          <w:szCs w:val="32"/>
        </w:rPr>
      </w:pPr>
    </w:p>
    <w:p w14:paraId="4D107643">
      <w:pPr>
        <w:rPr>
          <w:rFonts w:hint="eastAsia" w:ascii="仿宋_GB2312" w:eastAsia="仿宋_GB2312"/>
          <w:b/>
          <w:sz w:val="32"/>
          <w:szCs w:val="32"/>
        </w:rPr>
      </w:pPr>
    </w:p>
    <w:p w14:paraId="76EC1CAA">
      <w:pPr>
        <w:rPr>
          <w:rFonts w:hint="eastAsia" w:ascii="仿宋_GB2312" w:eastAsia="仿宋_GB2312"/>
          <w:b/>
          <w:sz w:val="32"/>
          <w:szCs w:val="32"/>
        </w:rPr>
      </w:pPr>
    </w:p>
    <w:p w14:paraId="4093F089">
      <w:pPr>
        <w:rPr>
          <w:rFonts w:hint="eastAsia" w:ascii="仿宋_GB2312" w:eastAsia="仿宋_GB2312"/>
          <w:b/>
          <w:sz w:val="32"/>
          <w:szCs w:val="32"/>
        </w:rPr>
      </w:pPr>
    </w:p>
    <w:p w14:paraId="43025C85">
      <w:pPr>
        <w:rPr>
          <w:rFonts w:hint="eastAsia" w:ascii="仿宋_GB2312" w:eastAsia="仿宋_GB2312"/>
          <w:b/>
          <w:sz w:val="32"/>
          <w:szCs w:val="32"/>
        </w:rPr>
      </w:pPr>
    </w:p>
    <w:p w14:paraId="40E35373">
      <w:pPr>
        <w:rPr>
          <w:rFonts w:hint="eastAsia" w:ascii="仿宋_GB2312" w:eastAsia="仿宋_GB2312"/>
          <w:b/>
          <w:sz w:val="32"/>
          <w:szCs w:val="32"/>
        </w:rPr>
      </w:pPr>
    </w:p>
    <w:p w14:paraId="3FEF5CE8">
      <w:pPr>
        <w:rPr>
          <w:rFonts w:hint="eastAsia" w:ascii="仿宋_GB2312" w:eastAsia="仿宋_GB2312"/>
          <w:b/>
          <w:sz w:val="32"/>
          <w:szCs w:val="32"/>
        </w:rPr>
      </w:pPr>
    </w:p>
    <w:p w14:paraId="36B87DA7">
      <w:pPr>
        <w:rPr>
          <w:rFonts w:hint="eastAsia" w:ascii="仿宋_GB2312" w:eastAsia="仿宋_GB2312"/>
          <w:b/>
          <w:sz w:val="32"/>
          <w:szCs w:val="32"/>
        </w:rPr>
      </w:pPr>
    </w:p>
    <w:p w14:paraId="1DA6594C">
      <w:pPr>
        <w:rPr>
          <w:rFonts w:hint="eastAsia" w:ascii="仿宋_GB2312" w:eastAsia="仿宋_GB2312"/>
          <w:b/>
          <w:sz w:val="32"/>
          <w:szCs w:val="32"/>
        </w:rPr>
      </w:pPr>
    </w:p>
    <w:p w14:paraId="0123DF08">
      <w:pPr>
        <w:rPr>
          <w:rFonts w:hint="eastAsia" w:ascii="仿宋_GB2312" w:eastAsia="仿宋_GB2312"/>
          <w:b/>
          <w:sz w:val="32"/>
          <w:szCs w:val="32"/>
        </w:rPr>
      </w:pPr>
    </w:p>
    <w:p w14:paraId="57C70905">
      <w:pPr>
        <w:rPr>
          <w:rFonts w:hint="eastAsia" w:ascii="仿宋_GB2312" w:eastAsia="仿宋_GB2312"/>
          <w:b/>
          <w:sz w:val="32"/>
          <w:szCs w:val="32"/>
        </w:rPr>
      </w:pPr>
    </w:p>
    <w:p w14:paraId="6AE0934F">
      <w:pPr>
        <w:rPr>
          <w:rFonts w:hint="eastAsia" w:ascii="仿宋_GB2312" w:eastAsia="仿宋_GB2312"/>
          <w:b/>
          <w:sz w:val="32"/>
          <w:szCs w:val="32"/>
        </w:rPr>
      </w:pPr>
    </w:p>
    <w:p w14:paraId="321C13A8">
      <w:pPr>
        <w:rPr>
          <w:rFonts w:hint="eastAsia" w:ascii="仿宋_GB2312" w:eastAsia="仿宋_GB2312"/>
          <w:b/>
          <w:sz w:val="32"/>
          <w:szCs w:val="32"/>
        </w:rPr>
      </w:pPr>
    </w:p>
    <w:p w14:paraId="389DB417">
      <w:pPr>
        <w:rPr>
          <w:rFonts w:hint="eastAsia" w:ascii="仿宋_GB2312" w:eastAsia="仿宋_GB2312"/>
          <w:b/>
          <w:sz w:val="32"/>
          <w:szCs w:val="32"/>
        </w:rPr>
      </w:pPr>
    </w:p>
    <w:p w14:paraId="25F01DFC">
      <w:pPr>
        <w:rPr>
          <w:rFonts w:hint="eastAsia" w:ascii="仿宋_GB2312" w:eastAsia="仿宋_GB2312"/>
          <w:b/>
          <w:sz w:val="32"/>
          <w:szCs w:val="32"/>
        </w:rPr>
      </w:pPr>
    </w:p>
    <w:p w14:paraId="2E855F83">
      <w:pPr>
        <w:rPr>
          <w:rFonts w:hint="eastAsia" w:ascii="仿宋_GB2312" w:eastAsia="仿宋_GB2312"/>
          <w:b/>
          <w:sz w:val="32"/>
          <w:szCs w:val="32"/>
        </w:rPr>
      </w:pPr>
    </w:p>
    <w:p w14:paraId="55CE1BFA">
      <w:pPr>
        <w:spacing w:line="560" w:lineRule="exact"/>
        <w:ind w:firstLine="646"/>
        <w:jc w:val="center"/>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lang w:eastAsia="zh-CN"/>
        </w:rPr>
        <w:t>环江毛南族自治县龙岩乡卫生院</w:t>
      </w:r>
      <w:r>
        <w:rPr>
          <w:rFonts w:hint="eastAsia" w:ascii="黑体" w:hAnsi="黑体" w:eastAsia="黑体"/>
          <w:sz w:val="32"/>
          <w:szCs w:val="32"/>
        </w:rPr>
        <w:t>概况</w:t>
      </w:r>
    </w:p>
    <w:p w14:paraId="678A88D5">
      <w:pPr>
        <w:spacing w:line="560" w:lineRule="exact"/>
        <w:ind w:firstLine="646"/>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14:paraId="24642F60">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环江毛南族自治县龙岩乡卫生院的主要职能是：政府办非营利性医疗机构，以公共卫生服务为主，综合提供预防、保健和基本医疗等职能，向辖区居民提供基本医疗服务和公共卫生服务。</w:t>
      </w:r>
    </w:p>
    <w:p w14:paraId="65105E71">
      <w:pPr>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（一）提供公共卫生服务</w:t>
      </w:r>
    </w:p>
    <w:p w14:paraId="080BCDF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1、承担本镇农村居民健康档案规范建档指导、管理及服务。</w:t>
      </w:r>
    </w:p>
    <w:p w14:paraId="51C35C7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2、普及卫生保健常识，在重点人群和重点场所开展健康教育，帮助居民形成有利于维护和增进健康的行为方式；指导开展爱国卫生工作。</w:t>
      </w:r>
    </w:p>
    <w:p w14:paraId="2E5A42B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3、提供并组织实施本镇预防接种服务，落实国家免疫规划。</w:t>
      </w:r>
    </w:p>
    <w:p w14:paraId="6182E35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4、及时发现、登记并报告本镇内发现的传染病病例和疑似病例，参与现场疫情处理。</w:t>
      </w:r>
    </w:p>
    <w:p w14:paraId="22B748B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5、开展新生儿访视及儿童保健系统管理，进行体格检查和生长发育监测及评价，开展健康指导。</w:t>
      </w:r>
    </w:p>
    <w:p w14:paraId="6200EAB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6、开展孕产妇保健系统管理和产后访视，进行一般体格检查及孕.期营养、心理等健康指导。</w:t>
      </w:r>
    </w:p>
    <w:p w14:paraId="54049DF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7、对本乡65岁及以上老年人进行登记管理， 进行健康危险因素调查和一般体格检查，开展健康指导。</w:t>
      </w:r>
    </w:p>
    <w:p w14:paraId="3A8B6F2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8、对高血压、糖尿病等慢性病高危人群进行指导，对确诊高血压、糖尿病等慢性病病例进行登记管理、定期随访和健康指导。</w:t>
      </w:r>
    </w:p>
    <w:p w14:paraId="71768BE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9、对本镇重性精神疾病患者进行登记管理、治疗随访和康复指导.</w:t>
      </w:r>
    </w:p>
    <w:p w14:paraId="6B584E2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10、负责本镇内突发公共卫生事件的报告并协助处理。</w:t>
      </w:r>
    </w:p>
    <w:p w14:paraId="691F407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11、做好卫生行政部门规定的其他公共卫生服务。</w:t>
      </w:r>
    </w:p>
    <w:p w14:paraId="017FE34E">
      <w:pPr>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（二）提供基本医疗服务</w:t>
      </w:r>
    </w:p>
    <w:p w14:paraId="6395F083">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1、使用农村适宜医疗技术和中医药技术， 正确处理常见病、多发病，对疑难重症进行恰当的处理并转诊。承担乡村现场应急救护、转诊服务和康复服务。</w:t>
      </w:r>
    </w:p>
    <w:p w14:paraId="4C9CE129">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2、能完成外科的止血、缝合、包扎、骨折固定等处置，能开展阑尾、疝气等常见下腹部手术，有条件的中心卫生院还应能开展部分上腹部手术。</w:t>
      </w:r>
    </w:p>
    <w:p w14:paraId="3BE58F6C">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3、健全消毒、隔离制度，遵守无菌操作规程，加强医疗质量管理。做好医疗废物处理和污水、污物无害化处理.</w:t>
      </w:r>
    </w:p>
    <w:p w14:paraId="6FA2D9AE">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4、执行国家基本药物制度药品集中采购、零差率销售等政策，为实施一体化管理的村卫生室统一代购药品。</w:t>
      </w:r>
    </w:p>
    <w:p w14:paraId="1BF18FFB">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5、提供政府卫生行政部门批准的其他适宜的医疗服务。</w:t>
      </w:r>
    </w:p>
    <w:p w14:paraId="576E9B71">
      <w:pPr>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（三）承担公共卫生管理</w:t>
      </w:r>
    </w:p>
    <w:p w14:paraId="48A2F115">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1、对本乡内传染病防治、学校卫生、食品卫生、饮水卫生、职业卫生，以及村级预防保健工作进行指导、培训、考核与监督。</w:t>
      </w:r>
    </w:p>
    <w:p w14:paraId="21EC8922">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2、严格执行新型农村合作医疗政策规定，履行定点医疗机构职责，做好有关的政策宣传、监督及服务工作。</w:t>
      </w:r>
    </w:p>
    <w:p w14:paraId="7AE04EFE">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3、深入推进乡村卫生服务一体化管理，对村卫生室实行以行政、人员、业务、药品、财产为基本内容的“五统一”规范管理；负责村卫生室的技术指导和乡村医生培训等工作。</w:t>
      </w:r>
    </w:p>
    <w:p w14:paraId="26A0F5CE">
      <w:pPr>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（四）卫生行政管理</w:t>
      </w:r>
    </w:p>
    <w:p w14:paraId="67F3CDD7">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1、在当地政府和上级卫生行政部门领导下，依据当地社会经济发展规划，协助制定和实施社区的初级卫生规划。</w:t>
      </w:r>
    </w:p>
    <w:p w14:paraId="5C2B96AC">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2、配合有关部门动员组织群众开展爱国卫生活动，逐步改善本乡卫生状况。</w:t>
      </w:r>
    </w:p>
    <w:p w14:paraId="65993C73">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3、贯彻执行国家各种卫生法规，对本镇内有关行业实行监督管理。</w:t>
      </w:r>
    </w:p>
    <w:p w14:paraId="7D8CC5CA">
      <w:pPr>
        <w:pStyle w:val="2"/>
        <w:rPr>
          <w:rFonts w:hint="eastAsia"/>
          <w:lang w:val="en-US" w:eastAsia="zh-CN"/>
        </w:rPr>
      </w:pPr>
      <w:r>
        <w:rPr>
          <w:rFonts w:hint="eastAsia" w:ascii="仿宋" w:hAnsi="仿宋" w:eastAsia="仿宋" w:cs="仿宋"/>
          <w:color w:val="auto"/>
          <w:sz w:val="32"/>
          <w:szCs w:val="32"/>
          <w:lang w:val="en-US" w:eastAsia="zh-CN"/>
        </w:rPr>
        <w:t>4、负责本乡内村级卫生服务站的管理和培训工作。</w:t>
      </w:r>
    </w:p>
    <w:p w14:paraId="72C4A4F1">
      <w:pPr>
        <w:spacing w:line="560" w:lineRule="exact"/>
        <w:ind w:firstLine="646"/>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机构设置情况</w:t>
      </w:r>
    </w:p>
    <w:p w14:paraId="3B231D70">
      <w:pPr>
        <w:spacing w:line="560" w:lineRule="exact"/>
        <w:rPr>
          <w:rFonts w:hint="eastAsia" w:ascii="仿宋" w:hAnsi="仿宋" w:eastAsia="仿宋" w:cs="仿宋"/>
          <w:b/>
          <w:bCs/>
          <w:sz w:val="32"/>
          <w:szCs w:val="32"/>
        </w:rPr>
      </w:pPr>
      <w:r>
        <w:rPr>
          <w:rFonts w:hint="eastAsia" w:ascii="仿宋" w:hAnsi="仿宋" w:eastAsia="仿宋" w:cs="仿宋"/>
          <w:b/>
          <w:bCs/>
          <w:sz w:val="32"/>
          <w:szCs w:val="32"/>
        </w:rPr>
        <w:t>（一）机构设置</w:t>
      </w:r>
    </w:p>
    <w:p w14:paraId="7053F7A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本单位属于差额拨款公益一类事业单位，</w:t>
      </w:r>
      <w:r>
        <w:rPr>
          <w:rFonts w:hint="eastAsia" w:ascii="仿宋" w:hAnsi="仿宋" w:eastAsia="仿宋" w:cs="仿宋"/>
          <w:color w:val="333333"/>
          <w:sz w:val="32"/>
          <w:szCs w:val="32"/>
          <w:shd w:val="clear" w:color="auto" w:fill="FFFFFF"/>
        </w:rPr>
        <w:t>主要</w:t>
      </w:r>
      <w:r>
        <w:rPr>
          <w:rFonts w:hint="eastAsia" w:ascii="仿宋" w:hAnsi="仿宋" w:eastAsia="仿宋" w:cs="仿宋"/>
          <w:sz w:val="32"/>
          <w:szCs w:val="32"/>
        </w:rPr>
        <w:t>设立</w:t>
      </w:r>
      <w:r>
        <w:rPr>
          <w:rFonts w:hint="eastAsia" w:ascii="仿宋" w:hAnsi="仿宋" w:eastAsia="仿宋" w:cs="仿宋"/>
          <w:color w:val="333333"/>
          <w:sz w:val="32"/>
          <w:szCs w:val="32"/>
          <w:shd w:val="clear" w:color="auto" w:fill="FFFFFF"/>
        </w:rPr>
        <w:t>有：</w:t>
      </w:r>
      <w:r>
        <w:rPr>
          <w:rFonts w:hint="eastAsia" w:ascii="仿宋" w:hAnsi="仿宋" w:eastAsia="仿宋" w:cs="仿宋"/>
          <w:color w:val="333333"/>
          <w:sz w:val="32"/>
          <w:szCs w:val="32"/>
          <w:shd w:val="clear" w:color="auto" w:fill="FFFFFF"/>
          <w:lang w:val="en-US" w:eastAsia="zh-CN"/>
        </w:rPr>
        <w:t>医疗综合</w:t>
      </w:r>
      <w:r>
        <w:rPr>
          <w:rFonts w:hint="eastAsia" w:ascii="仿宋" w:hAnsi="仿宋" w:eastAsia="仿宋" w:cs="仿宋"/>
          <w:color w:val="333333"/>
          <w:sz w:val="32"/>
          <w:szCs w:val="32"/>
          <w:shd w:val="clear" w:color="auto" w:fill="FFFFFF"/>
        </w:rPr>
        <w:t>科、</w:t>
      </w:r>
      <w:r>
        <w:rPr>
          <w:rFonts w:hint="eastAsia" w:ascii="仿宋" w:hAnsi="仿宋" w:eastAsia="仿宋" w:cs="仿宋"/>
          <w:color w:val="333333"/>
          <w:sz w:val="32"/>
          <w:szCs w:val="32"/>
          <w:shd w:val="clear" w:color="auto" w:fill="FFFFFF"/>
          <w:lang w:val="en-US" w:eastAsia="zh-CN"/>
        </w:rPr>
        <w:t>中医科、</w:t>
      </w:r>
      <w:r>
        <w:rPr>
          <w:rFonts w:hint="eastAsia" w:ascii="仿宋" w:hAnsi="仿宋" w:eastAsia="仿宋" w:cs="仿宋"/>
          <w:color w:val="333333"/>
          <w:sz w:val="32"/>
          <w:szCs w:val="32"/>
          <w:shd w:val="clear" w:color="auto" w:fill="FFFFFF"/>
        </w:rPr>
        <w:t>检验科、公共卫生科、财务</w:t>
      </w:r>
      <w:r>
        <w:rPr>
          <w:rFonts w:hint="eastAsia" w:ascii="仿宋" w:hAnsi="仿宋" w:eastAsia="仿宋" w:cs="仿宋"/>
          <w:color w:val="333333"/>
          <w:sz w:val="32"/>
          <w:szCs w:val="32"/>
          <w:shd w:val="clear" w:color="auto" w:fill="FFFFFF"/>
          <w:lang w:val="en-US" w:eastAsia="zh-CN"/>
        </w:rPr>
        <w:t>科</w:t>
      </w:r>
      <w:r>
        <w:rPr>
          <w:rFonts w:hint="eastAsia" w:ascii="仿宋" w:hAnsi="仿宋" w:eastAsia="仿宋" w:cs="仿宋"/>
          <w:color w:val="333333"/>
          <w:sz w:val="32"/>
          <w:szCs w:val="32"/>
          <w:shd w:val="clear" w:color="auto" w:fill="FFFFFF"/>
        </w:rPr>
        <w:t>、</w:t>
      </w:r>
      <w:r>
        <w:rPr>
          <w:rFonts w:hint="eastAsia" w:ascii="仿宋" w:hAnsi="仿宋" w:eastAsia="仿宋" w:cs="仿宋"/>
          <w:color w:val="333333"/>
          <w:sz w:val="32"/>
          <w:szCs w:val="32"/>
          <w:shd w:val="clear" w:color="auto" w:fill="FFFFFF"/>
          <w:lang w:val="en-US" w:eastAsia="zh-CN"/>
        </w:rPr>
        <w:t>药剂科</w:t>
      </w:r>
      <w:r>
        <w:rPr>
          <w:rFonts w:hint="eastAsia" w:ascii="仿宋" w:hAnsi="仿宋" w:eastAsia="仿宋" w:cs="仿宋"/>
          <w:color w:val="333333"/>
          <w:sz w:val="32"/>
          <w:szCs w:val="32"/>
          <w:shd w:val="clear" w:color="auto" w:fill="FFFFFF"/>
        </w:rPr>
        <w:t>、医学影像科。</w:t>
      </w:r>
    </w:p>
    <w:p w14:paraId="6EDF6A1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所属单位</w:t>
      </w:r>
      <w:r>
        <w:rPr>
          <w:rFonts w:hint="eastAsia" w:ascii="仿宋" w:hAnsi="仿宋" w:eastAsia="仿宋" w:cs="仿宋"/>
          <w:sz w:val="32"/>
          <w:szCs w:val="32"/>
          <w:lang w:eastAsia="zh-CN"/>
        </w:rPr>
        <w:t>：</w:t>
      </w:r>
      <w:r>
        <w:rPr>
          <w:rFonts w:hint="eastAsia" w:ascii="仿宋" w:hAnsi="仿宋" w:eastAsia="仿宋" w:cs="仿宋"/>
          <w:sz w:val="32"/>
          <w:szCs w:val="32"/>
        </w:rPr>
        <w:t>本单位属于差额拨款公益一类事业单位，属于环江县卫生健康局的二层机构。</w:t>
      </w:r>
    </w:p>
    <w:p w14:paraId="03154709">
      <w:pPr>
        <w:numPr>
          <w:ilvl w:val="0"/>
          <w:numId w:val="1"/>
        </w:numPr>
        <w:spacing w:line="560" w:lineRule="exact"/>
        <w:rPr>
          <w:rFonts w:hint="eastAsia" w:ascii="仿宋" w:hAnsi="仿宋" w:eastAsia="仿宋" w:cs="仿宋"/>
          <w:b/>
          <w:bCs/>
          <w:sz w:val="32"/>
          <w:szCs w:val="32"/>
        </w:rPr>
      </w:pPr>
      <w:r>
        <w:rPr>
          <w:rFonts w:hint="eastAsia" w:ascii="仿宋" w:hAnsi="仿宋" w:eastAsia="仿宋" w:cs="仿宋"/>
          <w:b/>
          <w:bCs/>
          <w:sz w:val="32"/>
          <w:szCs w:val="32"/>
        </w:rPr>
        <w:t>部门预算单位构成</w:t>
      </w:r>
    </w:p>
    <w:p w14:paraId="72B5FCC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本单位主管部门为环江县卫生健康局，为二级预算单位。</w:t>
      </w:r>
    </w:p>
    <w:p w14:paraId="762BB429">
      <w:pPr>
        <w:numPr>
          <w:ilvl w:val="0"/>
          <w:numId w:val="0"/>
        </w:numPr>
        <w:spacing w:line="560" w:lineRule="exact"/>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编制现状和人员构成</w:t>
      </w:r>
    </w:p>
    <w:p w14:paraId="72222C53">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编制现状</w:t>
      </w:r>
    </w:p>
    <w:p w14:paraId="08FC126D">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我单位核定编制人数</w:t>
      </w:r>
      <w:r>
        <w:rPr>
          <w:rFonts w:hint="eastAsia" w:ascii="仿宋" w:hAnsi="仿宋" w:eastAsia="仿宋" w:cs="仿宋"/>
          <w:b w:val="0"/>
          <w:bCs w:val="0"/>
          <w:sz w:val="32"/>
          <w:szCs w:val="32"/>
          <w:lang w:val="en-US" w:eastAsia="zh-CN"/>
        </w:rPr>
        <w:t>22</w:t>
      </w:r>
      <w:r>
        <w:rPr>
          <w:rFonts w:hint="eastAsia" w:ascii="仿宋" w:hAnsi="仿宋" w:eastAsia="仿宋" w:cs="仿宋"/>
          <w:b w:val="0"/>
          <w:bCs w:val="0"/>
          <w:sz w:val="32"/>
          <w:szCs w:val="32"/>
        </w:rPr>
        <w:t>人，其中：管理人员</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人，专业技术人员17人，后勤服务聘用人员控制数1人。</w:t>
      </w:r>
    </w:p>
    <w:p w14:paraId="0A5A4EC5">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人员构成</w:t>
      </w:r>
    </w:p>
    <w:p w14:paraId="3A0D454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我单位本年在职职工人数</w:t>
      </w:r>
      <w:r>
        <w:rPr>
          <w:rFonts w:hint="eastAsia" w:ascii="仿宋" w:hAnsi="仿宋" w:eastAsia="仿宋" w:cs="仿宋"/>
          <w:sz w:val="32"/>
          <w:szCs w:val="32"/>
          <w:lang w:val="en-US" w:eastAsia="zh-CN"/>
        </w:rPr>
        <w:t>38</w:t>
      </w:r>
      <w:r>
        <w:rPr>
          <w:rFonts w:hint="eastAsia" w:ascii="仿宋" w:hAnsi="仿宋" w:eastAsia="仿宋" w:cs="仿宋"/>
          <w:sz w:val="32"/>
          <w:szCs w:val="32"/>
        </w:rPr>
        <w:t>人，其中编制内实有人数</w:t>
      </w:r>
      <w:r>
        <w:rPr>
          <w:rFonts w:hint="eastAsia" w:ascii="仿宋" w:hAnsi="仿宋" w:eastAsia="仿宋" w:cs="仿宋"/>
          <w:sz w:val="32"/>
          <w:szCs w:val="32"/>
          <w:lang w:val="en-US" w:eastAsia="zh-CN"/>
        </w:rPr>
        <w:t>20</w:t>
      </w:r>
      <w:r>
        <w:rPr>
          <w:rFonts w:hint="eastAsia" w:ascii="仿宋" w:hAnsi="仿宋" w:eastAsia="仿宋" w:cs="仿宋"/>
          <w:sz w:val="32"/>
          <w:szCs w:val="32"/>
        </w:rPr>
        <w:t>人，后勤服务聘用人员控制数1人</w:t>
      </w:r>
      <w:r>
        <w:rPr>
          <w:rFonts w:hint="eastAsia" w:ascii="仿宋" w:hAnsi="仿宋" w:eastAsia="仿宋" w:cs="仿宋"/>
          <w:sz w:val="32"/>
          <w:szCs w:val="32"/>
          <w:lang w:eastAsia="zh-CN"/>
        </w:rPr>
        <w:t>，</w:t>
      </w:r>
      <w:r>
        <w:rPr>
          <w:rFonts w:hint="eastAsia" w:ascii="仿宋" w:hAnsi="仿宋" w:eastAsia="仿宋" w:cs="仿宋"/>
          <w:sz w:val="32"/>
          <w:szCs w:val="32"/>
        </w:rPr>
        <w:t>单位自聘人员有</w:t>
      </w:r>
      <w:r>
        <w:rPr>
          <w:rFonts w:hint="eastAsia" w:ascii="仿宋" w:hAnsi="仿宋" w:eastAsia="仿宋" w:cs="仿宋"/>
          <w:sz w:val="32"/>
          <w:szCs w:val="32"/>
          <w:lang w:val="en-US" w:eastAsia="zh-CN"/>
        </w:rPr>
        <w:t>17</w:t>
      </w:r>
      <w:r>
        <w:rPr>
          <w:rFonts w:hint="eastAsia" w:ascii="仿宋" w:hAnsi="仿宋" w:eastAsia="仿宋" w:cs="仿宋"/>
          <w:sz w:val="32"/>
          <w:szCs w:val="32"/>
        </w:rPr>
        <w:t>人。</w:t>
      </w:r>
    </w:p>
    <w:p w14:paraId="36130BE6">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720" w:num="1"/>
          <w:docGrid w:type="lines" w:linePitch="312" w:charSpace="0"/>
        </w:sectPr>
      </w:pPr>
    </w:p>
    <w:p w14:paraId="7183E3A1">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环江毛南族自治县</w:t>
      </w:r>
      <w:r>
        <w:rPr>
          <w:rFonts w:hint="eastAsia" w:ascii="黑体" w:hAnsi="黑体" w:eastAsia="黑体" w:cs="黑体"/>
          <w:sz w:val="32"/>
          <w:u w:color="auto"/>
          <w:lang w:eastAsia="zh-CN"/>
        </w:rPr>
        <w:t>龙岩乡卫生院</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4"/>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14:paraId="02F176A1">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14:paraId="49C7C6B9">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rPr>
              <w:t>表一：收入支出决算总表</w:t>
            </w:r>
          </w:p>
          <w:p w14:paraId="37DD1C19">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14:paraId="62947ED8">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14:paraId="3FF84EF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14:paraId="7452C29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14:paraId="79C9131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14:paraId="5480CC9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14:paraId="7956B34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14:paraId="2868BFE9">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14:paraId="70C1EA9E">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14:paraId="7063E490">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2669" w:type="dxa"/>
            <w:tcBorders>
              <w:top w:val="nil"/>
              <w:left w:val="nil"/>
              <w:bottom w:val="single" w:color="auto" w:sz="4" w:space="0"/>
              <w:right w:val="nil"/>
            </w:tcBorders>
            <w:shd w:val="clear" w:color="auto" w:fill="auto"/>
            <w:noWrap/>
            <w:vAlign w:val="bottom"/>
          </w:tcPr>
          <w:p w14:paraId="6B36A11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14:paraId="2CA6917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14:paraId="5D08B61C">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18C0FD7E">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0440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2DC6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14:paraId="3AC59827">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2C6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D04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C16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F5F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261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E70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14:paraId="0D65E4CE">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AAE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FFBC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DE9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C03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3243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93B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14:paraId="0CF3C919">
        <w:tblPrEx>
          <w:tblCellMar>
            <w:top w:w="0" w:type="dxa"/>
            <w:left w:w="108" w:type="dxa"/>
            <w:bottom w:w="0" w:type="dxa"/>
            <w:right w:w="108" w:type="dxa"/>
          </w:tblCellMar>
        </w:tblPrEx>
        <w:trPr>
          <w:trHeight w:val="90"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DA7D5">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4EF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7F7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484.07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29B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7C3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8CAF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2.86</w:t>
            </w:r>
          </w:p>
        </w:tc>
      </w:tr>
      <w:tr w14:paraId="5CBF922E">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46032">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FA1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2353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64D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707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3616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B2D862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8F17A">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B1B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FEF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466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162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D244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8A6FB9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E04C8">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128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F75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718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D1C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68D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C959E5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7FA53">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F5F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1E2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258.94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02C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C36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D82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277C579F">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5692A">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6E6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708E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B32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6AC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36B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40493A4">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DF931">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AC4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CA8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8D9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30C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76BD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D3BFCCC">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AC371">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91F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BD4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0.48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F72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45A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701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34.73</w:t>
            </w:r>
          </w:p>
        </w:tc>
      </w:tr>
      <w:tr w14:paraId="1E04DDC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1F6D2">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612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46E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16C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4E1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FDC5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0</w:t>
            </w:r>
          </w:p>
        </w:tc>
      </w:tr>
      <w:tr w14:paraId="612C9F2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D2EF3">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00A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D03D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AFE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8A4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42C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A4E8773">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DE1BF">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AB5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A35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45F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36C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561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5647DBB">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FDE0C">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BED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E85F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F8A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162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7B8F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6E39138C">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DB680">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1C1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28E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758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F9D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386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BBB8FB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AC537">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A20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EBF0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669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667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517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BFF3362">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A09D2">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3EF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098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DFD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151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5BB3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BB42D0E">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768E7">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DEA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0D2A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1972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AC2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5BC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070B9C5F">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74AAE">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58E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354E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4A4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E0A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E59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742FDB7">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E906D">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2FB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002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5BE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38E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034D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F9B6E0C">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6D574">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361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73F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FAE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950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1A91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18.75</w:t>
            </w:r>
          </w:p>
        </w:tc>
      </w:tr>
      <w:tr w14:paraId="74F1910C">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539A5">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48A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FE3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2F5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611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A3E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3DE99A01">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2A4D1">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0AC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6779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818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5EC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900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9B0D075">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DA946">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6B3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8D39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2ED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1BA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D270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CA78FD6">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A873B">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9E9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6C27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4EA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7A3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4505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14.67</w:t>
            </w:r>
          </w:p>
        </w:tc>
      </w:tr>
      <w:tr w14:paraId="28206720">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98345">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6DA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522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E87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DF7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461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722C9D63">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9CB3B">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A98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739D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592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D47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4A8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15C7EF9D">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1AA86">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0A4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20F0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286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D2C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7B2B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451C4CA6">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186EF">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45B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30C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743.01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A10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5DB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FB87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740.22</w:t>
            </w:r>
          </w:p>
        </w:tc>
      </w:tr>
      <w:tr w14:paraId="0B539604">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F5F8E">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F43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D6FD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08D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C6B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A763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2.79</w:t>
            </w:r>
          </w:p>
        </w:tc>
      </w:tr>
      <w:tr w14:paraId="76D15478">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3DC6B">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253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1CA1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FBC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8DA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20E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2D69F7F">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C8C27">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668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B1A4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67C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C38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2CF2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14:paraId="5A14FFD7">
        <w:tblPrEx>
          <w:tblCellMar>
            <w:top w:w="0" w:type="dxa"/>
            <w:left w:w="108" w:type="dxa"/>
            <w:bottom w:w="0" w:type="dxa"/>
            <w:right w:w="108" w:type="dxa"/>
          </w:tblCellMar>
        </w:tblPrEx>
        <w:trPr>
          <w:trHeight w:val="317"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25ABE">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ADC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1DE7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743.01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3FE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072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FE02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743.01</w:t>
            </w:r>
          </w:p>
        </w:tc>
      </w:tr>
    </w:tbl>
    <w:p w14:paraId="3F90ECFB">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4"/>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14:paraId="31DBEA4E">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14:paraId="2F25760F">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14:paraId="478EA041">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7613B594">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14:paraId="59F6456A">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14:paraId="7171C9F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31BDE21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1692873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14:paraId="7A82143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14:paraId="516A400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14:paraId="26CCAE1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14:paraId="4195F91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14:paraId="4D0397C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14:paraId="086B02B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14:paraId="697C574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14:paraId="254EFEED">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14:paraId="4F9DA5CC">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1373" w:type="dxa"/>
            <w:tcBorders>
              <w:top w:val="nil"/>
              <w:left w:val="nil"/>
              <w:bottom w:val="single" w:color="auto" w:sz="4" w:space="0"/>
              <w:right w:val="nil"/>
            </w:tcBorders>
            <w:shd w:val="clear" w:color="auto" w:fill="auto"/>
            <w:noWrap/>
            <w:vAlign w:val="bottom"/>
          </w:tcPr>
          <w:p w14:paraId="19EFA45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14:paraId="61A95AE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14:paraId="422CEC6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14:paraId="0E68FB4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503396D">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37185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B1DA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7134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32C4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CA47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C179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B155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8B06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14:paraId="34EE13E8">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CB11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C774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9BF46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12DD2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6DC1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38530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FCB4B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FCAB0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4A61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7E0F5E6">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E7771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D4DA6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92988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8E21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5B6CF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8889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5D32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4E08B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9857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72E9C4D">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DD43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6871D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D731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7281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A21E3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BF7AE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591ED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0F97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7EE85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E4044DC">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B3E02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70C565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11C14A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071B03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198D42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3E5ABD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B4C7F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630481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14:paraId="20AFEBDE">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8638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38AFD">
            <w:pPr>
              <w:keepNext w:val="0"/>
              <w:keepLines w:val="0"/>
              <w:widowControl/>
              <w:suppressLineNumbers w:val="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743.01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5CFA3">
            <w:pPr>
              <w:keepNext w:val="0"/>
              <w:keepLines w:val="0"/>
              <w:widowControl/>
              <w:suppressLineNumbers w:val="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484.07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8D6C4">
            <w:pPr>
              <w:keepNext w:val="0"/>
              <w:keepLines w:val="0"/>
              <w:widowControl/>
              <w:suppressLineNumbers w:val="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A3120">
            <w:pPr>
              <w:keepNext w:val="0"/>
              <w:keepLines w:val="0"/>
              <w:widowControl/>
              <w:suppressLineNumbers w:val="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258.94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27C2F">
            <w:pPr>
              <w:keepNext w:val="0"/>
              <w:keepLines w:val="0"/>
              <w:widowControl/>
              <w:suppressLineNumbers w:val="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D2212">
            <w:pPr>
              <w:keepNext w:val="0"/>
              <w:keepLines w:val="0"/>
              <w:widowControl/>
              <w:suppressLineNumbers w:val="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5EFE7">
            <w:pPr>
              <w:keepNext w:val="0"/>
              <w:keepLines w:val="0"/>
              <w:widowControl/>
              <w:suppressLineNumbers w:val="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743.01 </w:t>
            </w:r>
          </w:p>
        </w:tc>
      </w:tr>
      <w:tr w14:paraId="5FADF5E1">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A34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EAB7B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480F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2.86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FE56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2.86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55EF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28B6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75A5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9A80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93CE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2.86 </w:t>
            </w:r>
          </w:p>
        </w:tc>
      </w:tr>
      <w:tr w14:paraId="74E91F6D">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4FF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88846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5B0A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34.73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A05A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34.73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9083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07B8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58C2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55B1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D622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34.73 </w:t>
            </w:r>
          </w:p>
        </w:tc>
      </w:tr>
      <w:tr w14:paraId="3B8AB971">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4D0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96C81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97BB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439.42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C769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180.48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82C9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6237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258.94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3C28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E7C8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0AE7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439.42 </w:t>
            </w:r>
          </w:p>
        </w:tc>
      </w:tr>
      <w:tr w14:paraId="4C1E0BFD">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9AE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8E38B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C274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55.14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6DF5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55.14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F74E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60A8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43E8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E7D3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37DE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55.14 </w:t>
            </w:r>
          </w:p>
        </w:tc>
      </w:tr>
      <w:tr w14:paraId="53A351FA">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C9C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7D8402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基层医疗卫生机构</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6E79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96.41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9671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96.41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C3A9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C776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94FF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6025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F4BA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96.41 </w:t>
            </w:r>
          </w:p>
        </w:tc>
      </w:tr>
      <w:tr w14:paraId="70F960C6">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3A4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37729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乡镇卫生院</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4C9B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7.38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2AD2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7.38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E548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5EF9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5169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11E8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7AA5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7.38 </w:t>
            </w:r>
          </w:p>
        </w:tc>
      </w:tr>
      <w:tr w14:paraId="0B1A2FE5">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1B7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87472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40B9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33.65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92D1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33.65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A0A0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A380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686F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7BBB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5414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33.65 </w:t>
            </w:r>
          </w:p>
        </w:tc>
      </w:tr>
      <w:tr w14:paraId="257E6904">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18D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25C3B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公共卫生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742F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39F1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33B7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BC65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941F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F07E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5D50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40.00 </w:t>
            </w:r>
          </w:p>
        </w:tc>
      </w:tr>
      <w:tr w14:paraId="18447C76">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975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62D48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基本公共卫生服务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92D1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18.75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D7F6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18.75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3C5E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626F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75A1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F71E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81C8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18.75 </w:t>
            </w:r>
          </w:p>
        </w:tc>
      </w:tr>
      <w:tr w14:paraId="5EF806F1">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66C1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E8FF5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重大公共卫生服务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82C7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14.67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8DB7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14.67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1DFE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548E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B6DF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C58A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CAD8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14.67 </w:t>
            </w:r>
          </w:p>
        </w:tc>
      </w:tr>
      <w:tr w14:paraId="33359EE7">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FF6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48200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中医药</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AE46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743.01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D01D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484.07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9E8A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3568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258.94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E45F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CE6E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6241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743.01 </w:t>
            </w:r>
          </w:p>
        </w:tc>
      </w:tr>
      <w:tr w14:paraId="31148BA6">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803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2100601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4A872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中医（民族医）药专项</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B0B4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2.86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4E15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2.86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743F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817A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BAFC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20C3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711A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2.86 </w:t>
            </w:r>
          </w:p>
        </w:tc>
      </w:tr>
      <w:tr w14:paraId="6CAD8FE2">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E81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820DB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3753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34.73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F201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34.73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E10B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A8D9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1778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6FCE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2F16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34.73 </w:t>
            </w:r>
          </w:p>
        </w:tc>
      </w:tr>
      <w:tr w14:paraId="09B06B62">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ACB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EAB862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AE99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439.42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EA8F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180.48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2CA7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65F3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258.94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1652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FE10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7A9D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439.42 </w:t>
            </w:r>
          </w:p>
        </w:tc>
      </w:tr>
      <w:tr w14:paraId="2DC9AC4B">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6F6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D78E6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2030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55.14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51A2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55.14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8FBA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2F1C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9765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E00F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672C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55.14 </w:t>
            </w:r>
          </w:p>
        </w:tc>
      </w:tr>
      <w:tr w14:paraId="54763399">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062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4506E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EB6B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96.41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AFB7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96.41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A486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A3E6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95C7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8DAE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E28C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96.41 </w:t>
            </w:r>
          </w:p>
        </w:tc>
      </w:tr>
      <w:tr w14:paraId="0CDAA348">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E23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CC0CD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35E6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7.38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2D23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7.38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6770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1098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BA75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3387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EA0B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7.38 </w:t>
            </w:r>
          </w:p>
        </w:tc>
      </w:tr>
      <w:tr w14:paraId="6D51DAC9">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4AE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78E07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9AEC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33.65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F3DF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33.65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891A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A076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E735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90FA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6DBE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33.65 </w:t>
            </w:r>
          </w:p>
        </w:tc>
      </w:tr>
      <w:tr w14:paraId="7ADB25F3">
        <w:tblPrEx>
          <w:tblCellMar>
            <w:top w:w="0" w:type="dxa"/>
            <w:left w:w="108" w:type="dxa"/>
            <w:bottom w:w="0" w:type="dxa"/>
            <w:right w:w="108" w:type="dxa"/>
          </w:tblCellMar>
        </w:tblPrEx>
        <w:trPr>
          <w:trHeight w:val="90"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232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AB5C0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2DA3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BB2A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1E1E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563F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975F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F8EF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8BD9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40.00 </w:t>
            </w:r>
          </w:p>
        </w:tc>
      </w:tr>
      <w:tr w14:paraId="537E64F0">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C0D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DCEE8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75AD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18.75 </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26DB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18.75 </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C032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E768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E278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5717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BFC2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18.75 </w:t>
            </w:r>
          </w:p>
        </w:tc>
      </w:tr>
      <w:tr w14:paraId="2E5879EA">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14:paraId="40525F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14:paraId="7A6AE5B9">
      <w:pPr>
        <w:jc w:val="center"/>
        <w:rPr>
          <w:rFonts w:ascii="仿宋" w:hAnsi="仿宋" w:eastAsia="仿宋" w:cs="仿宋"/>
          <w:sz w:val="24"/>
          <w:highlight w:val="none"/>
        </w:rPr>
      </w:pPr>
    </w:p>
    <w:p w14:paraId="6B502FD3">
      <w:pPr>
        <w:rPr>
          <w:rFonts w:ascii="仿宋" w:hAnsi="仿宋" w:eastAsia="仿宋" w:cs="仿宋"/>
          <w:sz w:val="24"/>
          <w:highlight w:val="none"/>
        </w:rPr>
      </w:pPr>
      <w:r>
        <w:rPr>
          <w:rFonts w:ascii="仿宋" w:hAnsi="仿宋" w:eastAsia="仿宋" w:cs="仿宋"/>
          <w:sz w:val="24"/>
          <w:highlight w:val="none"/>
        </w:rPr>
        <w:br w:type="page"/>
      </w:r>
    </w:p>
    <w:p w14:paraId="663A4C26">
      <w:pPr>
        <w:jc w:val="center"/>
        <w:rPr>
          <w:rFonts w:ascii="仿宋" w:hAnsi="仿宋" w:eastAsia="仿宋" w:cs="仿宋"/>
          <w:sz w:val="24"/>
          <w:highlight w:val="none"/>
        </w:rPr>
      </w:pPr>
    </w:p>
    <w:p w14:paraId="3D4475CC">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5DB8CF87">
      <w:pPr>
        <w:jc w:val="left"/>
        <w:rPr>
          <w:rFonts w:hint="eastAsia" w:ascii="仿宋" w:hAnsi="仿宋" w:eastAsia="仿宋" w:cs="仿宋"/>
          <w:sz w:val="24"/>
          <w:highlight w:val="none"/>
        </w:rPr>
      </w:pPr>
    </w:p>
    <w:tbl>
      <w:tblPr>
        <w:tblStyle w:val="4"/>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14:paraId="1E935494">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14:paraId="218E23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14:paraId="6A38428E">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14:paraId="61108EF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14:paraId="5AB1799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14:paraId="685031E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14:paraId="0F64AE1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14:paraId="2B91E65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14:paraId="797A1E5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14:paraId="5033155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14:paraId="1BC26D0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14:paraId="5A649FD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14:paraId="29E9A86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14:paraId="6DA195D4">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14:paraId="6F6E2975">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1653" w:type="dxa"/>
            <w:tcBorders>
              <w:top w:val="nil"/>
              <w:left w:val="nil"/>
              <w:bottom w:val="single" w:color="auto" w:sz="4" w:space="0"/>
              <w:right w:val="nil"/>
            </w:tcBorders>
            <w:shd w:val="clear" w:color="auto" w:fill="auto"/>
            <w:noWrap/>
            <w:vAlign w:val="center"/>
          </w:tcPr>
          <w:p w14:paraId="3A3EDC9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14:paraId="21D86AF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14:paraId="1E3D9CE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47A645EF">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58030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F64F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1A85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F41C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4957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DAA2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AD62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14:paraId="0C852FD4">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E782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0FE0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6E90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17A4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743C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5777A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51CE3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401DE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39BE141">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411A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3815E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5EC0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7070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EF59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E63D3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BB7E6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3E087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1C410F8">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80D0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DFDF7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0304F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E29A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37633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96A4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B685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748C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22E6F29">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5C3A7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14:paraId="2AB67A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0C43EB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095A75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459EDD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56DCA7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E4B93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6D30361C">
        <w:tblPrEx>
          <w:tblCellMar>
            <w:top w:w="0" w:type="dxa"/>
            <w:left w:w="108" w:type="dxa"/>
            <w:bottom w:w="0" w:type="dxa"/>
            <w:right w:w="108" w:type="dxa"/>
          </w:tblCellMar>
        </w:tblPrEx>
        <w:trPr>
          <w:trHeight w:val="419"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93096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DA48B">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740.22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EEA6D">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507.86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A83F9">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232.36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C21CA">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7F276">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EC99E">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FA0472F">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573A0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F7F2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B796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2.86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CF69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2.86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9AD4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AE7F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3D6D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2E85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27025035">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76360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9132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A806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34.73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FD3A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34.73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2DE5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F20D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0A0C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BF77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342B9ED6">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D9FDE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417D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98B4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436.63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6D85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418.83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0624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17.80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8C90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9957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4519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C352D9F">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C3D5B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3F3EE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DA70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55.14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B584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26.94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AB04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28.20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8F60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486E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65C3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5D89481C">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65A5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9E554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基层医疗卫生机构</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07A6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96.41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6B7D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A085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96.41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816A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88F6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1874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2CB05CF1">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5A046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2100302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287B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乡镇卫生院</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6C45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7.38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D408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D207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7.38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E915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FFD4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D714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0C23FB7">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A204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2100399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6ACF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40DF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33.65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6CAF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4266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33.65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9BC3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7E45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C1DB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360C9056">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8920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D64B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公共卫生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83E8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F3B5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1C14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96FD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2DCC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1105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66E8F5B4">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CE9E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2100408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F83C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基本公共卫生服务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5F36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18.75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50B4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18.75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278A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4460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FEB4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65A5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611D4D9E">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6A2B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2100409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3BAB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重大公共卫生服务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8F60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14.67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AC43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5.75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C196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8.92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0582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B227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53DA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D426E9B">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2AC9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F927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中医药</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AA1F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740.22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AE8D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507.86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4657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232.36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AC2B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0915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A04B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1DBE4FC4">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13C6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2100601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5622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中医（民族医）药专项</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8B58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2.86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4631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2.86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32F3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E12E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E80A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FFED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3C2F6F44">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08D48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04B4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1651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34.73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DE35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34.73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F498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7D1F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62ED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50BA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1F8F1BCA">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D3B2D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2109999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6D7C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8410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436.63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F3A7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418.83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34E7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17.80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C05A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2F18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D280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67924236">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5D1A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2E79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0279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55.14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B2CA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26.94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FAF1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28.20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20E7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19BD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C554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EFEB885">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1D9D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BCF11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0670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96.41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D694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7E93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96.41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EAED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25DD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8EB8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2BC18038">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65FD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CFF0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28AC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7.38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0BB6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81D5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7.38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B692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C09F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93EB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0684DE73">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CABCD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10DA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4FF0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33.65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3D8D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68BD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33.65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1DE4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7796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E7B1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6307EFE">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235D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353A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0BF1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2B90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8DAF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5B5A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90E1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DE70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6A9506C8">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99A4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B940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CF53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18.75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C5B1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18.75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A9F2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38EE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8B16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6A53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D38B479">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14:paraId="47658E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14:paraId="354D9390">
      <w:pPr>
        <w:rPr>
          <w:rFonts w:ascii="仿宋" w:hAnsi="仿宋" w:eastAsia="仿宋" w:cs="仿宋"/>
          <w:sz w:val="24"/>
          <w:highlight w:val="none"/>
        </w:rPr>
      </w:pPr>
      <w:r>
        <w:rPr>
          <w:rFonts w:ascii="仿宋" w:hAnsi="仿宋" w:eastAsia="仿宋" w:cs="仿宋"/>
          <w:sz w:val="24"/>
          <w:highlight w:val="none"/>
        </w:rPr>
        <w:br w:type="page"/>
      </w:r>
    </w:p>
    <w:p w14:paraId="75356845">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14:paraId="3B03905A">
      <w:pPr>
        <w:jc w:val="left"/>
        <w:rPr>
          <w:rFonts w:hint="eastAsia" w:ascii="仿宋" w:hAnsi="仿宋" w:eastAsia="仿宋" w:cs="仿宋"/>
          <w:sz w:val="24"/>
          <w:highlight w:val="none"/>
        </w:rPr>
      </w:pPr>
    </w:p>
    <w:tbl>
      <w:tblPr>
        <w:tblStyle w:val="4"/>
        <w:tblW w:w="4965" w:type="pct"/>
        <w:tblInd w:w="0" w:type="dxa"/>
        <w:tblLayout w:type="fixed"/>
        <w:tblCellMar>
          <w:top w:w="0" w:type="dxa"/>
          <w:left w:w="108" w:type="dxa"/>
          <w:bottom w:w="0" w:type="dxa"/>
          <w:right w:w="108" w:type="dxa"/>
        </w:tblCellMar>
      </w:tblPr>
      <w:tblGrid>
        <w:gridCol w:w="1715"/>
        <w:gridCol w:w="731"/>
        <w:gridCol w:w="1438"/>
        <w:gridCol w:w="2749"/>
        <w:gridCol w:w="849"/>
        <w:gridCol w:w="1083"/>
        <w:gridCol w:w="1764"/>
        <w:gridCol w:w="1794"/>
        <w:gridCol w:w="1885"/>
      </w:tblGrid>
      <w:tr w14:paraId="78AB2B3E">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14:paraId="51888A15">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14:paraId="7A81C453">
        <w:tblPrEx>
          <w:tblCellMar>
            <w:top w:w="0" w:type="dxa"/>
            <w:left w:w="108" w:type="dxa"/>
            <w:bottom w:w="0" w:type="dxa"/>
            <w:right w:w="108" w:type="dxa"/>
          </w:tblCellMar>
        </w:tblPrEx>
        <w:trPr>
          <w:trHeight w:val="260" w:hRule="atLeast"/>
        </w:trPr>
        <w:tc>
          <w:tcPr>
            <w:tcW w:w="612" w:type="pct"/>
            <w:tcBorders>
              <w:top w:val="nil"/>
              <w:left w:val="nil"/>
              <w:bottom w:val="nil"/>
              <w:right w:val="nil"/>
            </w:tcBorders>
            <w:shd w:val="clear" w:color="auto" w:fill="auto"/>
            <w:noWrap/>
            <w:vAlign w:val="bottom"/>
          </w:tcPr>
          <w:p w14:paraId="7F053DA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0" w:type="pct"/>
            <w:tcBorders>
              <w:top w:val="nil"/>
              <w:left w:val="nil"/>
              <w:bottom w:val="nil"/>
              <w:right w:val="nil"/>
            </w:tcBorders>
            <w:shd w:val="clear" w:color="auto" w:fill="auto"/>
            <w:noWrap/>
            <w:vAlign w:val="bottom"/>
          </w:tcPr>
          <w:p w14:paraId="1DB89DD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13" w:type="pct"/>
            <w:tcBorders>
              <w:top w:val="nil"/>
              <w:left w:val="nil"/>
              <w:bottom w:val="nil"/>
              <w:right w:val="nil"/>
            </w:tcBorders>
            <w:shd w:val="clear" w:color="auto" w:fill="auto"/>
            <w:noWrap/>
            <w:vAlign w:val="bottom"/>
          </w:tcPr>
          <w:p w14:paraId="37F4C0A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81" w:type="pct"/>
            <w:tcBorders>
              <w:top w:val="nil"/>
              <w:left w:val="nil"/>
              <w:bottom w:val="nil"/>
              <w:right w:val="nil"/>
            </w:tcBorders>
            <w:shd w:val="clear" w:color="auto" w:fill="auto"/>
            <w:noWrap/>
            <w:vAlign w:val="bottom"/>
          </w:tcPr>
          <w:p w14:paraId="1305BA4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pct"/>
            <w:tcBorders>
              <w:top w:val="nil"/>
              <w:left w:val="nil"/>
              <w:bottom w:val="nil"/>
              <w:right w:val="nil"/>
            </w:tcBorders>
            <w:shd w:val="clear" w:color="auto" w:fill="auto"/>
            <w:noWrap/>
            <w:vAlign w:val="bottom"/>
          </w:tcPr>
          <w:p w14:paraId="0AB44F6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14:paraId="7273D64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14:paraId="620D2F1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14:paraId="44DA445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14:paraId="2BE71DAE">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14:paraId="2B836626">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14:paraId="6EC7E209">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629" w:type="pct"/>
            <w:tcBorders>
              <w:top w:val="nil"/>
              <w:left w:val="nil"/>
              <w:bottom w:val="single" w:color="auto" w:sz="4" w:space="0"/>
              <w:right w:val="nil"/>
            </w:tcBorders>
            <w:shd w:val="clear" w:color="auto" w:fill="auto"/>
            <w:noWrap/>
            <w:vAlign w:val="bottom"/>
          </w:tcPr>
          <w:p w14:paraId="138B954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14:paraId="165E3BC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14:paraId="18CAEF27">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5A73FD85">
        <w:tblPrEx>
          <w:tblCellMar>
            <w:top w:w="0" w:type="dxa"/>
            <w:left w:w="108" w:type="dxa"/>
            <w:bottom w:w="0" w:type="dxa"/>
            <w:right w:w="108" w:type="dxa"/>
          </w:tblCellMar>
        </w:tblPrEx>
        <w:trPr>
          <w:trHeight w:val="268" w:hRule="atLeast"/>
        </w:trPr>
        <w:tc>
          <w:tcPr>
            <w:tcW w:w="13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DE72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613"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68B6B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14:paraId="25DDC375">
        <w:tblPrEx>
          <w:tblCellMar>
            <w:top w:w="0" w:type="dxa"/>
            <w:left w:w="108" w:type="dxa"/>
            <w:bottom w:w="0" w:type="dxa"/>
            <w:right w:w="108" w:type="dxa"/>
          </w:tblCellMar>
        </w:tblPrEx>
        <w:trPr>
          <w:trHeight w:val="312" w:hRule="atLeast"/>
        </w:trPr>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BC22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F6DA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5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F590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9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7E7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29E3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00788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061F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BD03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0090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14:paraId="7C878987">
        <w:tblPrEx>
          <w:tblCellMar>
            <w:top w:w="0" w:type="dxa"/>
            <w:left w:w="108" w:type="dxa"/>
            <w:bottom w:w="0" w:type="dxa"/>
            <w:right w:w="108" w:type="dxa"/>
          </w:tblCellMar>
        </w:tblPrEx>
        <w:trPr>
          <w:trHeight w:val="536" w:hRule="atLeast"/>
        </w:trPr>
        <w:tc>
          <w:tcPr>
            <w:tcW w:w="6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56D9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F7C57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90D1F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ACC4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F38AA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C6DD8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EBCA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F857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3CAE9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8C1D60C">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53F9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A15CC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6F86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64C6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3028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ADB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4E4D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E480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9AED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14:paraId="431929A6">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1FA6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99E6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26661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484.07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7B2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EC0F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7D410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2.86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CC2AB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2.86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7641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2228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DEF7C38">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FA0D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E28B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639A9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96F2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二、外交支出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96B9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83D3D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57116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BA74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4A96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D727200">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7962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7C3B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40077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E1F0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三、国防支出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7523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2386C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3E162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52A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9BEE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31C8D74">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3ABD5C">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9741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B565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6B02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D502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5EFD7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367B1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F9FD1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EFDDE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2EA34A3">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8873B7">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65F8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844BA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102B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五、教育支出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7D95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AB39C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BB11F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EF02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B2D5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F41AC1C">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1AC0B6">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A46E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0B59A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E4B0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F575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1C26E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3B4A4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5C5F1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56DE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295EB22">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25B88D">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D074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C0126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5F3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3411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ABCC7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D3B3A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C6AD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FD7CC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B7762FB">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FA9F2C">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EFC8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65CFA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20C5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336F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F9465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34.73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C0B17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34.73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8142C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5A648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FA25D9B">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864648">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08C0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55103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C20D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491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6D0F1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413.06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28322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413.06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69624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49C0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DB6C05F">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57D483">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F3F5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7F21D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C179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76FE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5867C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1E775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4E0AA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0C20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17E8997">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4CA435">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15A7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D397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8748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D843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4BDF9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C7C7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1ACDA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7320A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7F30E5E">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4C1F51">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2C91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668B5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38A46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FBB2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92A5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E668A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C759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99C4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F9E2D78">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BEC4CA">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BBBC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7BD29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E179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86FA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BA9BA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8C4C9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B29E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15D90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694CBC5">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F59EE8">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07E2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B4F9D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D3736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5553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F745E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5B824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CCC0B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816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32F3F7B">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1947D2">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6458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DD8F1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8999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E4CA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58BC7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FC562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1D41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4C02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869592E">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7C00C7">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9AE1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B30C7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62D8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695E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E49F0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84FB9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CB7E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C84D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3A3FDD6">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E22DFA">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BEF2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B7368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24F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FED1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96938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2112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0D58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53EE4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7482E41">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F8A4A">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AD7B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FB8A2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F2DA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7638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E4FED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AF831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227A0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D006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B865CC8">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DE3073">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0156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3E7EE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4A70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56F6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3F896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18.75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25CF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18.75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1954D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EC599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48BEBD8">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C14E7C">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08FD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A82B9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F1CBC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2B0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9C288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882CB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DC344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5A8E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EDE2B54">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353F12">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DF80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D9733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9704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4C42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7A586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974D4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82C6D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4A2F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1AE926B">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DAB35A">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004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93681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7193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EDE3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45645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69BD7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8243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2665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1824F51">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F954BC">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3E55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9CD68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D9AD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8198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DDD91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14.67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14064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14.67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D115A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621D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A758644">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FF804C">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1D49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892C1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D6C5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AFDF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EFFF3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7C0E5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149BC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28A5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9928AF2">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DAC44E">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3CD4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071EE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CD61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0662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80EA2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CCB5F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8392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F6592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068234E">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FF245F">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7B2C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0CBDA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6C7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432B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D39A6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E3AA8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2E260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AB5E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8D02C5A">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6389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B326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99B4A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484.07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D543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412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FEC44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484.07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2FA0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484.07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BACEC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558F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3B5CCDE">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5FFA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7746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8D266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8FF5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72F2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1112F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CDED4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FA71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9B486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B3CBFE4">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6F32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F122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F4FE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E3C40A">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B6D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43622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A489A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B4E7DA">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CE7E5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D708BC1">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5FC8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23ED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5D65B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2040BF">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145B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FEB1A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20AD4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D99C84">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7876E">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75AA700F">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6BA8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国有资本经营预算财政拨款</w:t>
            </w: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D658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B34B9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A35919">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C7BC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83301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03FA9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FEA5E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C10350">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3931167">
        <w:tblPrEx>
          <w:tblCellMar>
            <w:top w:w="0" w:type="dxa"/>
            <w:left w:w="108" w:type="dxa"/>
            <w:bottom w:w="0" w:type="dxa"/>
            <w:right w:w="108" w:type="dxa"/>
          </w:tblCellMar>
        </w:tblPrEx>
        <w:trPr>
          <w:trHeight w:val="268" w:hRule="atLeast"/>
        </w:trPr>
        <w:tc>
          <w:tcPr>
            <w:tcW w:w="6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5F80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F12B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6B776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484.07 </w:t>
            </w:r>
          </w:p>
        </w:tc>
        <w:tc>
          <w:tcPr>
            <w:tcW w:w="9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991C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C1C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E0426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484.07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D28829">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484.07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3884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C5AF3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3B5E243">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14:paraId="0764A7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14:paraId="0D75CF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1D3397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14:paraId="1BB22096">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14:paraId="0AEAD95B">
      <w:pPr>
        <w:jc w:val="left"/>
        <w:rPr>
          <w:rFonts w:ascii="仿宋" w:hAnsi="仿宋" w:eastAsia="仿宋" w:cs="仿宋"/>
          <w:sz w:val="24"/>
          <w:highlight w:val="none"/>
        </w:rPr>
      </w:pPr>
    </w:p>
    <w:p w14:paraId="2D7C4FDF">
      <w:pPr>
        <w:rPr>
          <w:rFonts w:ascii="仿宋" w:hAnsi="仿宋" w:eastAsia="仿宋" w:cs="仿宋"/>
          <w:sz w:val="24"/>
          <w:highlight w:val="none"/>
        </w:rPr>
      </w:pPr>
      <w:r>
        <w:rPr>
          <w:rFonts w:ascii="仿宋" w:hAnsi="仿宋" w:eastAsia="仿宋" w:cs="仿宋"/>
          <w:sz w:val="24"/>
          <w:highlight w:val="none"/>
        </w:rPr>
        <w:br w:type="page"/>
      </w:r>
    </w:p>
    <w:p w14:paraId="4B467092">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024AFC87">
      <w:pPr>
        <w:jc w:val="left"/>
        <w:rPr>
          <w:rFonts w:hint="eastAsia" w:ascii="仿宋" w:hAnsi="仿宋" w:eastAsia="仿宋" w:cs="仿宋"/>
          <w:sz w:val="24"/>
          <w:highlight w:val="none"/>
        </w:rPr>
      </w:pPr>
    </w:p>
    <w:tbl>
      <w:tblPr>
        <w:tblStyle w:val="4"/>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14:paraId="477B1B3A">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14:paraId="554FB76C">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14:paraId="548606C3">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14:paraId="3B94F87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09201D0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6A3EB3A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14:paraId="544E6C4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14:paraId="2C16B96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14:paraId="65EEFE8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14:paraId="0BEBE5D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14:paraId="58DAE025">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14:paraId="630F2F6A">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3107" w:type="dxa"/>
            <w:tcBorders>
              <w:top w:val="nil"/>
              <w:left w:val="nil"/>
              <w:bottom w:val="single" w:color="auto" w:sz="4" w:space="0"/>
              <w:right w:val="nil"/>
            </w:tcBorders>
            <w:shd w:val="clear" w:color="auto" w:fill="auto"/>
            <w:noWrap/>
            <w:vAlign w:val="bottom"/>
          </w:tcPr>
          <w:p w14:paraId="6CED111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14:paraId="4CBF4A5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D23CA30">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6740B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C147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54612497">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83D5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4225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5601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4CDC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43B1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20C39B0C">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2B0B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A9586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5263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4BFE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1D8B7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707E53F">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B27D8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9FD52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54F2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2A2DE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6DC8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DFB9226">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5C717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114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6D0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C84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398EF7CA">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1E636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70091">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484.07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FBC37">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251.71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64F1F">
            <w:pPr>
              <w:keepNext w:val="0"/>
              <w:keepLines w:val="0"/>
              <w:widowControl/>
              <w:suppressLineNumbers w:val="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232.36 </w:t>
            </w:r>
          </w:p>
        </w:tc>
      </w:tr>
      <w:tr w14:paraId="5780E818">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BC0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8BFBF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CCDEE">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2.86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D2D93">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2.86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012DF">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8B83ED8">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807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5E4F9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59589">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34.73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DD52B">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34.73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E7F13">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2924CD9">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51A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9619C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3685F">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180.48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3D8AC">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162.68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C88FC">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17.80 </w:t>
            </w:r>
          </w:p>
        </w:tc>
      </w:tr>
      <w:tr w14:paraId="33806C21">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95F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C73F5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A84A6">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55.14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A2FC5">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26.94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17E64">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28.20 </w:t>
            </w:r>
          </w:p>
        </w:tc>
      </w:tr>
      <w:tr w14:paraId="0893DF7E">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71EC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9A07A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0D40C">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96.41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5EFC5">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4BEE5">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96.41 </w:t>
            </w:r>
          </w:p>
        </w:tc>
      </w:tr>
      <w:tr w14:paraId="1FF4ED05">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BD3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28E27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乡镇卫生院</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262A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7.38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BFE37">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2F2C2">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7.38 </w:t>
            </w:r>
          </w:p>
        </w:tc>
      </w:tr>
      <w:tr w14:paraId="71ACCE00">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842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9CF7F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47ED4">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33.65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E86B4">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ABC82">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33.65 </w:t>
            </w:r>
          </w:p>
        </w:tc>
      </w:tr>
      <w:tr w14:paraId="1E5874F7">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E06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659B3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公共卫生</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EF487">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0744D">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FAA5D">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40.00 </w:t>
            </w:r>
          </w:p>
        </w:tc>
      </w:tr>
      <w:tr w14:paraId="5F143E17">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F09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DB964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79F43">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18.75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57E1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18.75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DA5EA">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397AEBB">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D78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E1AFF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63086">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14.67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29E66">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5.75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90C55">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8.92 </w:t>
            </w:r>
          </w:p>
        </w:tc>
      </w:tr>
      <w:tr w14:paraId="66DFAC31">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38F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802E6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中医药</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D1D2E">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484.07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EBFA1">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251.71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1D9FF">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232.36 </w:t>
            </w:r>
          </w:p>
        </w:tc>
      </w:tr>
      <w:tr w14:paraId="7EE9DF06">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06E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2100601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30975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中医（民族医）药专项</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E77F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2.86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63A0C">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2.86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16538">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88E1D36">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154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36540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95E97">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34.73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3EF87">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34.73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04074">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665296F">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4AA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23398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032C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180.48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CE99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162.68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AC4F6">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17.80 </w:t>
            </w:r>
          </w:p>
        </w:tc>
      </w:tr>
      <w:tr w14:paraId="4951F71D">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DC4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FF669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F91B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55.14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AF951">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26.94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57134">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28.20 </w:t>
            </w:r>
          </w:p>
        </w:tc>
      </w:tr>
      <w:tr w14:paraId="708AF931">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E3E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B633D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C883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96.41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AD6C9">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1EF0C">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96.41 </w:t>
            </w:r>
          </w:p>
        </w:tc>
      </w:tr>
      <w:tr w14:paraId="249DB5EC">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A4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70BE1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9F0C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7.38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F958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0785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7.38 </w:t>
            </w:r>
          </w:p>
        </w:tc>
      </w:tr>
      <w:tr w14:paraId="4F7C5B30">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0F2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8220A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032B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33.65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62B4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40E8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33.65 </w:t>
            </w:r>
          </w:p>
        </w:tc>
      </w:tr>
      <w:tr w14:paraId="3A48329F">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28C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A4C66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F62A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EBA56">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6F4F2">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40.00 </w:t>
            </w:r>
          </w:p>
        </w:tc>
      </w:tr>
      <w:tr w14:paraId="32655DBD">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E16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6BBB9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11D4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18.75 </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2149E">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18.75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87C2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2E38A693">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14:paraId="422F51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14:paraId="4D223A0C">
      <w:pPr>
        <w:rPr>
          <w:rFonts w:ascii="仿宋" w:hAnsi="仿宋" w:eastAsia="仿宋" w:cs="仿宋"/>
          <w:sz w:val="24"/>
          <w:highlight w:val="none"/>
        </w:rPr>
      </w:pPr>
      <w:r>
        <w:rPr>
          <w:rFonts w:ascii="仿宋" w:hAnsi="仿宋" w:eastAsia="仿宋" w:cs="仿宋"/>
          <w:sz w:val="24"/>
          <w:highlight w:val="none"/>
        </w:rPr>
        <w:br w:type="page"/>
      </w:r>
    </w:p>
    <w:p w14:paraId="79D8BC37">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34C14351">
      <w:pPr>
        <w:jc w:val="left"/>
        <w:rPr>
          <w:rFonts w:hint="eastAsia" w:ascii="仿宋" w:hAnsi="仿宋" w:eastAsia="仿宋" w:cs="仿宋"/>
          <w:sz w:val="24"/>
          <w:highlight w:val="none"/>
        </w:rPr>
      </w:pPr>
    </w:p>
    <w:tbl>
      <w:tblPr>
        <w:tblStyle w:val="4"/>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14:paraId="16326683">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14:paraId="1F5D535D">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14:paraId="14E63AA6">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14:paraId="1518438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14:paraId="15A058F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14:paraId="1466F5D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14:paraId="57643D2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14:paraId="3B06617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14:paraId="3138A09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14:paraId="048BEA1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14:paraId="4342FE3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14:paraId="54B7BC2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14:paraId="6A9C7E39">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14:paraId="6D6A4BCB">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1160" w:type="dxa"/>
            <w:tcBorders>
              <w:top w:val="nil"/>
              <w:left w:val="nil"/>
              <w:bottom w:val="single" w:color="auto" w:sz="4" w:space="0"/>
              <w:right w:val="nil"/>
            </w:tcBorders>
            <w:shd w:val="clear" w:color="auto" w:fill="auto"/>
            <w:noWrap/>
            <w:vAlign w:val="bottom"/>
          </w:tcPr>
          <w:p w14:paraId="4331069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14:paraId="0A7719E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14:paraId="4E299191">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5569973">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F002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FC38F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14:paraId="305A2A27">
        <w:tblPrEx>
          <w:tblCellMar>
            <w:top w:w="0" w:type="dxa"/>
            <w:left w:w="108" w:type="dxa"/>
            <w:bottom w:w="0" w:type="dxa"/>
            <w:right w:w="108" w:type="dxa"/>
          </w:tblCellMar>
        </w:tblPrEx>
        <w:trPr>
          <w:trHeight w:val="1841"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0D4DB0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71" w:type="dxa"/>
            <w:tcBorders>
              <w:top w:val="single" w:color="auto" w:sz="4" w:space="0"/>
              <w:left w:val="single" w:color="auto" w:sz="4" w:space="0"/>
              <w:bottom w:val="single" w:color="auto" w:sz="4" w:space="0"/>
              <w:right w:val="single" w:color="auto" w:sz="4" w:space="0"/>
            </w:tcBorders>
            <w:shd w:val="clear" w:color="auto" w:fill="auto"/>
            <w:vAlign w:val="center"/>
          </w:tcPr>
          <w:p w14:paraId="7F6C3D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4DCBDF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44C93E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14:paraId="33F3EC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0E161F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123D9D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28B8FA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140D33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58B6703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201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816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E44A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207.75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0B0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B69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42FFA">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29.80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525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F162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B17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2C2E28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91F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15A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8A9F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85.15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9F3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563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17168">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68B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3C5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231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D91B50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A30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92A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0FB07">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A76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241B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26F99">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557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BF2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1405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6C8CCF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0E3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BEA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974AA">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B74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25D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68972">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C11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859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3D3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EB3414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E4C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9ED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F9A1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791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65BB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B398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91F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FA0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1C79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83BDEF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ACC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C6EB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AE671">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57.44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D4D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604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F8277">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838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F43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0F3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5DB543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376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3B7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0C135">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23.60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E20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3FE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20E19">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8D2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467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55A2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AC5A05A">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B64D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665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8EA2E">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A58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F0D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AAB4B">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080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FF7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E234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7DE63A9B">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BE5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082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CE1B9">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9.36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9BF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294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E0A8B">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972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250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3DD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E596B7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604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EB4B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BBE16">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30E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3E8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82932">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3FF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490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7F5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5AAE865">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D7E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BAE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586FA">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13.45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71C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46D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E1395">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E0A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35C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C4C0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0DD1B7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30C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AF1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80595">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18.75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F51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7FB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255BD">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29D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EE9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8D1E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EC2C1A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4A1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395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F8138">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AD9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634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1DB12">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E25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FD7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E85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5C549D6">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015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E01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5B2AF">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33D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48E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C20A8">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B97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EBC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FB71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F11D38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69D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C81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A5525">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14.16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FAE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C28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7A3D1">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094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8F2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7FE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95387A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43A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565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51081">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AC5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03D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02BBB">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6DC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5A3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51D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C6DD952">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68D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0EC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986E9">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CCB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6F21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02D6A">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2D2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654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BFF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F627EF9">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9F0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7AA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4B02F">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9A1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0FD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583C3">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5F3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D2F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AE81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45F9CA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615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3B1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C3627">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7.97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0CE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674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9D8B8">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762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529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3D48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E460AC0">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92EB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522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36227">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4.08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12D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132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2889E">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084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663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22B2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42069028">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D53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A4C4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3DD1B">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99A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BE0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CD95B">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26.94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775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AF7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F92C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4849F19D">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276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69C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8CE56">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086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706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6BA0D">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D88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DAE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672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187B786F">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844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70E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02CF1">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FFA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35D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1A1FA">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2.86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EC3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9FD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A52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5A6C2C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301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7C5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F4E82">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2AB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70E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30CC6">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166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576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2A5A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2E6BB7E7">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A08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D93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81B77">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F822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A37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61CB4">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F0F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C80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164B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1F10691">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0DE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055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C3A20">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123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D5E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FFD91">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6C7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DE0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679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089FCD9E">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D2B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A2C9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7E3FE">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2.12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0AE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1AF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97EFB">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6679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254D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C517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849F104">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206D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65865">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BCE66">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79D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EBD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0E7C5">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0CA97">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4B07E">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AB50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bookmarkEnd w:id="0"/>
      <w:bookmarkEnd w:id="1"/>
      <w:tr w14:paraId="08F82791">
        <w:tblPrEx>
          <w:tblCellMar>
            <w:top w:w="0" w:type="dxa"/>
            <w:left w:w="108" w:type="dxa"/>
            <w:bottom w:w="0" w:type="dxa"/>
            <w:right w:w="108" w:type="dxa"/>
          </w:tblCellMar>
        </w:tblPrEx>
        <w:trPr>
          <w:trHeight w:val="624" w:hRule="atLeast"/>
        </w:trPr>
        <w:tc>
          <w:tcPr>
            <w:tcW w:w="34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FEDE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E3EA3">
            <w:pPr>
              <w:keepNext w:val="0"/>
              <w:keepLines w:val="0"/>
              <w:widowControl/>
              <w:suppressLineNumbers w:val="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221.91 </w:t>
            </w:r>
          </w:p>
        </w:tc>
        <w:tc>
          <w:tcPr>
            <w:tcW w:w="81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3DAF5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B6B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29.80 </w:t>
            </w:r>
          </w:p>
        </w:tc>
      </w:tr>
      <w:tr w14:paraId="7EBC3B7F">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14:paraId="144337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14:paraId="39F57BAD">
      <w:pPr>
        <w:jc w:val="left"/>
        <w:rPr>
          <w:rFonts w:ascii="仿宋" w:hAnsi="仿宋" w:eastAsia="仿宋" w:cs="仿宋"/>
          <w:sz w:val="24"/>
          <w:highlight w:val="none"/>
        </w:rPr>
      </w:pPr>
    </w:p>
    <w:p w14:paraId="4EC6DA77">
      <w:pPr>
        <w:rPr>
          <w:rFonts w:ascii="仿宋" w:hAnsi="仿宋" w:eastAsia="仿宋" w:cs="仿宋"/>
          <w:sz w:val="24"/>
          <w:highlight w:val="none"/>
        </w:rPr>
      </w:pPr>
      <w:r>
        <w:rPr>
          <w:rFonts w:ascii="仿宋" w:hAnsi="仿宋" w:eastAsia="仿宋" w:cs="仿宋"/>
          <w:sz w:val="24"/>
          <w:highlight w:val="none"/>
        </w:rPr>
        <w:br w:type="page"/>
      </w:r>
    </w:p>
    <w:p w14:paraId="78B19B83">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011F8AA2">
      <w:pPr>
        <w:jc w:val="left"/>
        <w:rPr>
          <w:rFonts w:hint="eastAsia" w:ascii="仿宋" w:hAnsi="仿宋" w:eastAsia="仿宋" w:cs="仿宋"/>
          <w:sz w:val="24"/>
          <w:highlight w:val="none"/>
        </w:rPr>
      </w:pPr>
    </w:p>
    <w:tbl>
      <w:tblPr>
        <w:tblStyle w:val="4"/>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14:paraId="40C86DD1">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14:paraId="205CA4F4">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14:paraId="655B4369">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14:paraId="4E23BA2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14:paraId="03E8D69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7FD6097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14:paraId="59B8E49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14:paraId="05E278D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14:paraId="2A0B77D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14:paraId="7A8C5D2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14:paraId="4E794ED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14:paraId="01CF0C4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14:paraId="58288CDD">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14:paraId="5E053858">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14:paraId="6BBB5A25">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1680" w:type="dxa"/>
            <w:tcBorders>
              <w:top w:val="nil"/>
              <w:left w:val="nil"/>
              <w:bottom w:val="single" w:color="auto" w:sz="4" w:space="0"/>
              <w:right w:val="nil"/>
            </w:tcBorders>
            <w:shd w:val="clear" w:color="auto" w:fill="auto"/>
            <w:noWrap/>
            <w:vAlign w:val="bottom"/>
          </w:tcPr>
          <w:p w14:paraId="61DA1BB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14:paraId="116CF70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14:paraId="6A45401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5E9169E5">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27C77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0CFD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9126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0A62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3A2D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14:paraId="30073A62">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2DA5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0D74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4381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634D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837E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B8A7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F104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920A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F076F03">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8422B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3245B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05979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DF4F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22CE8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7543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52F64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1474D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7A9E303">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C80E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0FE80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291B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37F4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7FE8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9568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CA0D9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5084E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E0D38C6">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6348F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A9F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ADF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563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71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485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C1F4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37F2C71B">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E3742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F3315">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53A6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83362">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BCFDF">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5EE69">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E1733B">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7900D8D4">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CD1CD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90C4DA">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C571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7B1A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E94A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3D69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4247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BC580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C34D08C">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99D625">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0B1665">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26E7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02D3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DA66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4189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B296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E9940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0D6A1F6">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70046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E0F66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E570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E027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65BD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D063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BC5B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A175C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3E8FE7AA">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59171765">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14:paraId="4E2329BB">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14:paraId="5E97A89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14:paraId="3D5BBCF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14:paraId="242BADC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14:paraId="63AC394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14:paraId="4ADF039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14:paraId="1D2CF57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F396DB3">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14:paraId="24F7D40C">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14:paraId="747C7459">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14:paraId="275EC33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14:paraId="0E923CF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14:paraId="4861DFE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14:paraId="1B9ABF8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14:paraId="278BF19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14:paraId="46987A6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4C4F96A">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14:paraId="18163F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tc>
      </w:tr>
    </w:tbl>
    <w:p w14:paraId="1C9D0081">
      <w:pPr>
        <w:rPr>
          <w:rFonts w:ascii="仿宋" w:hAnsi="仿宋" w:eastAsia="仿宋" w:cs="仿宋"/>
          <w:sz w:val="24"/>
          <w:highlight w:val="none"/>
        </w:rPr>
      </w:pPr>
      <w:r>
        <w:rPr>
          <w:rFonts w:ascii="仿宋" w:hAnsi="仿宋" w:eastAsia="仿宋" w:cs="仿宋"/>
          <w:sz w:val="24"/>
          <w:highlight w:val="none"/>
        </w:rPr>
        <w:br w:type="page"/>
      </w:r>
    </w:p>
    <w:p w14:paraId="66F09608">
      <w:pPr>
        <w:jc w:val="left"/>
        <w:rPr>
          <w:rFonts w:ascii="仿宋" w:hAnsi="仿宋" w:eastAsia="仿宋" w:cs="仿宋"/>
          <w:sz w:val="24"/>
          <w:highlight w:val="none"/>
        </w:rPr>
      </w:pPr>
    </w:p>
    <w:p w14:paraId="3A91559D">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6C4BCB7B">
      <w:pPr>
        <w:jc w:val="left"/>
        <w:rPr>
          <w:rFonts w:hint="eastAsia" w:ascii="仿宋" w:hAnsi="仿宋" w:eastAsia="仿宋" w:cs="仿宋"/>
          <w:sz w:val="24"/>
          <w:highlight w:val="none"/>
        </w:rPr>
      </w:pPr>
    </w:p>
    <w:tbl>
      <w:tblPr>
        <w:tblStyle w:val="4"/>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14:paraId="06382602">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14:paraId="268AC8AD">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14:paraId="186029B7">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14:paraId="7B7CD8F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14:paraId="269223E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14:paraId="05BF8EC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14:paraId="44FC02B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14:paraId="20B4B9F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14:paraId="215919E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5A0C98A2">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14:paraId="65BAE79E">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14:paraId="3F79496D">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3135" w:type="dxa"/>
            <w:tcBorders>
              <w:top w:val="nil"/>
              <w:left w:val="nil"/>
              <w:bottom w:val="nil"/>
              <w:right w:val="nil"/>
            </w:tcBorders>
            <w:shd w:val="clear" w:color="auto" w:fill="auto"/>
            <w:noWrap/>
            <w:vAlign w:val="bottom"/>
          </w:tcPr>
          <w:p w14:paraId="66EDC89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3701A74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2A225391">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2F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14:paraId="67E0F4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2C3AF52D">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14:paraId="4ED07D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14:paraId="4F2470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14:paraId="228035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14:paraId="4DA098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14:paraId="56F44C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160BEDED">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31C8979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6CC0545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71DE559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7C526AF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3FDB1B8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3877FA8">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22A30BC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2FE8825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044E94A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4126235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6114FEB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9F2A92B">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3CD042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14:paraId="6E390E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14:paraId="50C7F3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14:paraId="3A68D6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4C3DCC71">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4CEB88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14:paraId="2F8C4CC6">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2EB25CB5">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68490C63">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41AD04E2">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60435642">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12BDF282">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796848E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5130752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7A495AF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22A95908">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4727536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0A0E6BC7">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78F273B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7517D31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08F0DF9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14:paraId="3B83D0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auto"/>
          <w:kern w:val="0"/>
          <w:sz w:val="22"/>
          <w:szCs w:val="22"/>
          <w:highlight w:val="none"/>
          <w:lang w:bidi="ar"/>
        </w:rPr>
        <w:t>：</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auto"/>
          <w:kern w:val="0"/>
          <w:sz w:val="22"/>
          <w:szCs w:val="22"/>
          <w:highlight w:val="none"/>
          <w:lang w:bidi="ar"/>
        </w:rPr>
        <w:t>。</w:t>
      </w:r>
      <w:r>
        <w:rPr>
          <w:rFonts w:hint="eastAsia" w:ascii="宋体" w:hAnsi="宋体" w:eastAsia="宋体" w:cs="宋体"/>
          <w:color w:val="000000"/>
          <w:kern w:val="0"/>
          <w:sz w:val="22"/>
          <w:szCs w:val="22"/>
          <w:highlight w:val="none"/>
          <w:lang w:bidi="ar"/>
        </w:rPr>
        <w:br w:type="page"/>
      </w:r>
    </w:p>
    <w:tbl>
      <w:tblPr>
        <w:tblStyle w:val="4"/>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14:paraId="034BC449">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14:paraId="1A191F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14:paraId="6E3220C3">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14:paraId="0D02AA15">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14:paraId="2663523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14:paraId="3E6F209B">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14:paraId="58A091A0">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14:paraId="1E99685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14:paraId="5372C12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14:paraId="1CD07B2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14:paraId="2C80B4D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16A5714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14:paraId="66F17A5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14:paraId="52F9A18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75697CB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209A647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23BBC74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1727C0A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14:paraId="136C64F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14:paraId="45CC7F29">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14:paraId="5C2404E3">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w:t>
            </w:r>
            <w:r>
              <w:rPr>
                <w:rFonts w:hint="eastAsia" w:ascii="宋体" w:hAnsi="宋体" w:eastAsia="宋体" w:cs="宋体"/>
                <w:color w:val="000000"/>
                <w:sz w:val="20"/>
                <w:u w:color="auto"/>
                <w:lang w:eastAsia="zh-CN"/>
              </w:rPr>
              <w:t>龙岩乡卫生院</w:t>
            </w:r>
          </w:p>
        </w:tc>
        <w:tc>
          <w:tcPr>
            <w:tcW w:w="1066" w:type="dxa"/>
            <w:tcBorders>
              <w:top w:val="nil"/>
              <w:left w:val="nil"/>
              <w:bottom w:val="nil"/>
              <w:right w:val="nil"/>
            </w:tcBorders>
            <w:shd w:val="clear" w:color="auto" w:fill="auto"/>
            <w:noWrap/>
            <w:vAlign w:val="bottom"/>
          </w:tcPr>
          <w:p w14:paraId="0800C57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557F5EB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665455B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2DFD824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14:paraId="3DB01D7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3E4F6BD4">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A949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14:paraId="40E41F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466B2311">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607CA3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14:paraId="1B269E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14:paraId="443C3C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14:paraId="56A0A4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14:paraId="6142C5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14:paraId="1F0263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14:paraId="4E95C7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14:paraId="347718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14:paraId="127158F1">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0FFFAB8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2D1341D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14:paraId="495FE4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14:paraId="60A91D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31F583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14:paraId="23601A8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14:paraId="2A53F92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14:paraId="143021A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14:paraId="116730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14:paraId="10DF87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17BF97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14:paraId="722E082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0EE4F01">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14:paraId="1B6748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14:paraId="4740EF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14:paraId="1D8EEF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14:paraId="0F9435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14:paraId="1BB00A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14:paraId="357FCA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14:paraId="200756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14:paraId="567F2E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14:paraId="667213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14:paraId="5DC209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14:paraId="517AA3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14:paraId="24A05A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14:paraId="44BE12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14:paraId="21511BC1">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14:paraId="0903BC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14:paraId="56D726D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94" w:type="dxa"/>
            <w:tcBorders>
              <w:top w:val="nil"/>
              <w:left w:val="nil"/>
              <w:bottom w:val="single" w:color="000000" w:sz="4" w:space="0"/>
              <w:right w:val="single" w:color="000000" w:sz="4" w:space="0"/>
            </w:tcBorders>
            <w:shd w:val="clear" w:color="auto" w:fill="auto"/>
            <w:noWrap/>
            <w:vAlign w:val="center"/>
          </w:tcPr>
          <w:p w14:paraId="312CD9A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59" w:type="dxa"/>
            <w:tcBorders>
              <w:top w:val="nil"/>
              <w:left w:val="nil"/>
              <w:bottom w:val="single" w:color="000000" w:sz="4" w:space="0"/>
              <w:right w:val="single" w:color="000000" w:sz="4" w:space="0"/>
            </w:tcBorders>
            <w:shd w:val="clear" w:color="auto" w:fill="auto"/>
            <w:noWrap/>
            <w:vAlign w:val="center"/>
          </w:tcPr>
          <w:p w14:paraId="4C26F81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33" w:type="dxa"/>
            <w:tcBorders>
              <w:top w:val="nil"/>
              <w:left w:val="nil"/>
              <w:bottom w:val="single" w:color="000000" w:sz="4" w:space="0"/>
              <w:right w:val="single" w:color="000000" w:sz="4" w:space="0"/>
            </w:tcBorders>
            <w:shd w:val="clear" w:color="auto" w:fill="auto"/>
            <w:noWrap/>
            <w:vAlign w:val="center"/>
          </w:tcPr>
          <w:p w14:paraId="46D73FB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40" w:type="dxa"/>
            <w:tcBorders>
              <w:top w:val="nil"/>
              <w:left w:val="nil"/>
              <w:bottom w:val="single" w:color="000000" w:sz="4" w:space="0"/>
              <w:right w:val="single" w:color="000000" w:sz="4" w:space="0"/>
            </w:tcBorders>
            <w:shd w:val="clear" w:color="auto" w:fill="auto"/>
            <w:noWrap/>
            <w:vAlign w:val="center"/>
          </w:tcPr>
          <w:p w14:paraId="7E870F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14:paraId="7BB55E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14:paraId="66DDE5E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53" w:type="dxa"/>
            <w:tcBorders>
              <w:top w:val="nil"/>
              <w:left w:val="nil"/>
              <w:bottom w:val="single" w:color="000000" w:sz="4" w:space="0"/>
              <w:right w:val="single" w:color="000000" w:sz="4" w:space="0"/>
            </w:tcBorders>
            <w:shd w:val="clear" w:color="auto" w:fill="auto"/>
            <w:noWrap/>
            <w:vAlign w:val="center"/>
          </w:tcPr>
          <w:p w14:paraId="7F7272E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48" w:type="dxa"/>
            <w:tcBorders>
              <w:top w:val="nil"/>
              <w:left w:val="nil"/>
              <w:bottom w:val="single" w:color="000000" w:sz="4" w:space="0"/>
              <w:right w:val="single" w:color="000000" w:sz="4" w:space="0"/>
            </w:tcBorders>
            <w:shd w:val="clear" w:color="auto" w:fill="auto"/>
            <w:noWrap/>
            <w:vAlign w:val="center"/>
          </w:tcPr>
          <w:p w14:paraId="18DA7B9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33" w:type="dxa"/>
            <w:tcBorders>
              <w:top w:val="nil"/>
              <w:left w:val="nil"/>
              <w:bottom w:val="single" w:color="000000" w:sz="4" w:space="0"/>
              <w:right w:val="single" w:color="000000" w:sz="4" w:space="0"/>
            </w:tcBorders>
            <w:shd w:val="clear" w:color="auto" w:fill="auto"/>
            <w:noWrap/>
            <w:vAlign w:val="center"/>
          </w:tcPr>
          <w:p w14:paraId="6A7F7631">
            <w:pPr>
              <w:keepNext w:val="0"/>
              <w:keepLines w:val="0"/>
              <w:suppressLineNumbers w:val="0"/>
              <w:spacing w:before="0" w:beforeAutospacing="0" w:after="0" w:afterAutospacing="0"/>
              <w:ind w:left="0" w:right="0"/>
              <w:jc w:val="center"/>
              <w:rPr>
                <w:rFonts w:hint="default"/>
                <w:highlight w:val="none"/>
              </w:rPr>
            </w:pPr>
            <w:r>
              <w:rPr>
                <w:rFonts w:hint="default" w:ascii="宋体" w:hAnsi="宋体" w:eastAsia="宋体" w:cs="宋体"/>
                <w:color w:val="000000"/>
                <w:kern w:val="0"/>
                <w:sz w:val="22"/>
                <w:szCs w:val="22"/>
                <w:highlight w:val="none"/>
                <w:lang w:bidi="ar"/>
              </w:rPr>
              <w:t>0.00</w:t>
            </w:r>
          </w:p>
        </w:tc>
        <w:tc>
          <w:tcPr>
            <w:tcW w:w="1073" w:type="dxa"/>
            <w:tcBorders>
              <w:top w:val="nil"/>
              <w:left w:val="nil"/>
              <w:bottom w:val="single" w:color="000000" w:sz="4" w:space="0"/>
              <w:right w:val="single" w:color="000000" w:sz="4" w:space="0"/>
            </w:tcBorders>
            <w:shd w:val="clear" w:color="auto" w:fill="auto"/>
            <w:noWrap/>
            <w:vAlign w:val="center"/>
          </w:tcPr>
          <w:p w14:paraId="33E7D3D5">
            <w:pPr>
              <w:keepNext w:val="0"/>
              <w:keepLines w:val="0"/>
              <w:suppressLineNumbers w:val="0"/>
              <w:spacing w:before="0" w:beforeAutospacing="0" w:after="0" w:afterAutospacing="0"/>
              <w:ind w:left="0" w:right="0"/>
              <w:jc w:val="center"/>
              <w:rPr>
                <w:rFonts w:hint="default"/>
                <w:highlight w:val="none"/>
              </w:rPr>
            </w:pPr>
            <w:r>
              <w:rPr>
                <w:rFonts w:hint="default" w:ascii="宋体" w:hAnsi="宋体" w:eastAsia="宋体" w:cs="宋体"/>
                <w:color w:val="000000"/>
                <w:kern w:val="0"/>
                <w:sz w:val="22"/>
                <w:szCs w:val="22"/>
                <w:highlight w:val="none"/>
                <w:lang w:bidi="ar"/>
              </w:rPr>
              <w:t>0.00</w:t>
            </w:r>
          </w:p>
        </w:tc>
      </w:tr>
      <w:tr w14:paraId="40EB4E7D">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14:paraId="633CEC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r>
              <w:rPr>
                <w:rFonts w:hint="eastAsia" w:ascii="宋体" w:hAnsi="宋体" w:eastAsia="宋体" w:cs="宋体"/>
                <w:color w:val="auto"/>
                <w:kern w:val="0"/>
                <w:sz w:val="22"/>
                <w:szCs w:val="22"/>
                <w:highlight w:val="none"/>
                <w:lang w:bidi="ar"/>
              </w:rPr>
              <w:t>。</w:t>
            </w:r>
          </w:p>
        </w:tc>
      </w:tr>
    </w:tbl>
    <w:p w14:paraId="13285193">
      <w:pPr>
        <w:spacing w:line="560" w:lineRule="exact"/>
        <w:jc w:val="center"/>
        <w:rPr>
          <w:rFonts w:hint="eastAsia"/>
        </w:rPr>
      </w:pPr>
    </w:p>
    <w:p w14:paraId="59DD5BC8">
      <w:pPr>
        <w:spacing w:line="560" w:lineRule="exact"/>
        <w:rPr>
          <w:rFonts w:hint="eastAsia" w:ascii="仿宋_GB2312" w:eastAsia="仿宋_GB2312"/>
          <w:b/>
          <w:sz w:val="32"/>
          <w:szCs w:val="32"/>
        </w:rPr>
        <w:sectPr>
          <w:footerReference r:id="rId3" w:type="default"/>
          <w:footerReference r:id="rId4" w:type="even"/>
          <w:pgSz w:w="16838" w:h="11906" w:orient="landscape"/>
          <w:pgMar w:top="1587" w:right="1701" w:bottom="1474" w:left="1247" w:header="851" w:footer="992" w:gutter="0"/>
          <w:cols w:space="720" w:num="1"/>
          <w:docGrid w:type="lines" w:linePitch="312" w:charSpace="0"/>
        </w:sectPr>
      </w:pPr>
    </w:p>
    <w:p w14:paraId="5999EBF0">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cs="黑体"/>
          <w:sz w:val="32"/>
          <w:lang w:eastAsia="zh-CN"/>
        </w:rPr>
        <w:t>环江毛南族自治县龙岩乡卫生院</w:t>
      </w:r>
      <w:r>
        <w:rPr>
          <w:rFonts w:hint="eastAsia" w:ascii="黑体" w:hAnsi="黑体" w:eastAsia="黑体"/>
          <w:bCs/>
          <w:color w:val="000000"/>
          <w:sz w:val="32"/>
          <w:szCs w:val="32"/>
          <w:lang w:val="en-US" w:eastAsia="zh-CN"/>
        </w:rPr>
        <w:t xml:space="preserve"> </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14:paraId="31098BE2">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14:paraId="7C7AF122">
      <w:pPr>
        <w:autoSpaceDE w:val="0"/>
        <w:autoSpaceDN w:val="0"/>
        <w:adjustRightInd w:val="0"/>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（一）本部门202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年度总收入</w:t>
      </w:r>
      <w:r>
        <w:rPr>
          <w:rFonts w:hint="eastAsia" w:ascii="仿宋" w:hAnsi="仿宋" w:eastAsia="仿宋" w:cs="仿宋"/>
          <w:kern w:val="0"/>
          <w:sz w:val="32"/>
          <w:szCs w:val="32"/>
          <w:lang w:val="en-US" w:eastAsia="zh-CN"/>
        </w:rPr>
        <w:t>743.01</w:t>
      </w:r>
      <w:r>
        <w:rPr>
          <w:rFonts w:hint="eastAsia" w:ascii="仿宋" w:hAnsi="仿宋" w:eastAsia="仿宋" w:cs="仿宋"/>
          <w:kern w:val="0"/>
          <w:sz w:val="32"/>
          <w:szCs w:val="32"/>
        </w:rPr>
        <w:t>万元，其中本年收入</w:t>
      </w:r>
      <w:r>
        <w:rPr>
          <w:rFonts w:hint="eastAsia" w:ascii="仿宋" w:hAnsi="仿宋" w:eastAsia="仿宋" w:cs="仿宋"/>
          <w:kern w:val="0"/>
          <w:sz w:val="32"/>
          <w:szCs w:val="32"/>
          <w:lang w:val="en-US" w:eastAsia="zh-CN"/>
        </w:rPr>
        <w:t>743.01</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较202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增加177.26</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上涨31.33</w:t>
      </w:r>
      <w:r>
        <w:rPr>
          <w:rFonts w:hint="eastAsia" w:ascii="仿宋" w:hAnsi="仿宋" w:eastAsia="仿宋" w:cs="仿宋"/>
          <w:kern w:val="0"/>
          <w:sz w:val="32"/>
          <w:szCs w:val="32"/>
        </w:rPr>
        <w:t>%。收入具体情况如下。</w:t>
      </w:r>
    </w:p>
    <w:p w14:paraId="60525700">
      <w:pPr>
        <w:autoSpaceDE w:val="0"/>
        <w:autoSpaceDN w:val="0"/>
        <w:adjustRightInd w:val="0"/>
        <w:spacing w:line="560" w:lineRule="exact"/>
        <w:ind w:firstLine="627" w:firstLineChars="196"/>
        <w:jc w:val="both"/>
        <w:rPr>
          <w:rFonts w:hint="eastAsia" w:ascii="仿宋" w:hAnsi="仿宋" w:eastAsia="仿宋" w:cs="仿宋"/>
          <w:kern w:val="0"/>
          <w:sz w:val="32"/>
          <w:szCs w:val="32"/>
        </w:rPr>
      </w:pPr>
      <w:r>
        <w:rPr>
          <w:rFonts w:hint="eastAsia" w:ascii="仿宋" w:hAnsi="仿宋" w:eastAsia="仿宋" w:cs="仿宋"/>
          <w:bCs/>
          <w:kern w:val="0"/>
          <w:sz w:val="32"/>
          <w:szCs w:val="32"/>
        </w:rPr>
        <w:t>1</w:t>
      </w:r>
      <w:r>
        <w:rPr>
          <w:rFonts w:hint="eastAsia" w:ascii="仿宋" w:hAnsi="仿宋" w:eastAsia="仿宋" w:cs="仿宋"/>
          <w:kern w:val="0"/>
          <w:sz w:val="32"/>
          <w:szCs w:val="32"/>
        </w:rPr>
        <w:t>.一般公共预算财政拨款收入</w:t>
      </w:r>
      <w:r>
        <w:rPr>
          <w:rFonts w:hint="eastAsia" w:ascii="仿宋" w:hAnsi="仿宋" w:eastAsia="仿宋" w:cs="仿宋"/>
          <w:kern w:val="0"/>
          <w:sz w:val="32"/>
          <w:szCs w:val="32"/>
          <w:lang w:val="en-US" w:eastAsia="zh-CN"/>
        </w:rPr>
        <w:t>484.07</w:t>
      </w:r>
      <w:r>
        <w:rPr>
          <w:rFonts w:hint="eastAsia" w:ascii="仿宋" w:hAnsi="仿宋" w:eastAsia="仿宋" w:cs="仿宋"/>
          <w:kern w:val="0"/>
          <w:sz w:val="32"/>
          <w:szCs w:val="32"/>
        </w:rPr>
        <w:t>万元，为自治区本级财政当年拨付的资金。较202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年度决算数增加</w:t>
      </w:r>
      <w:r>
        <w:rPr>
          <w:rFonts w:hint="eastAsia" w:ascii="仿宋" w:hAnsi="仿宋" w:eastAsia="仿宋" w:cs="仿宋"/>
          <w:kern w:val="0"/>
          <w:sz w:val="32"/>
          <w:szCs w:val="32"/>
          <w:lang w:val="en-US" w:eastAsia="zh-CN"/>
        </w:rPr>
        <w:t>65.75</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15.72</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医疗卫生机构支出增加</w:t>
      </w:r>
      <w:r>
        <w:rPr>
          <w:rFonts w:hint="eastAsia" w:ascii="仿宋" w:hAnsi="仿宋" w:eastAsia="仿宋" w:cs="仿宋"/>
          <w:kern w:val="0"/>
          <w:sz w:val="32"/>
          <w:szCs w:val="32"/>
        </w:rPr>
        <w:t>。</w:t>
      </w:r>
    </w:p>
    <w:p w14:paraId="150B2D0F">
      <w:pPr>
        <w:autoSpaceDE w:val="0"/>
        <w:autoSpaceDN w:val="0"/>
        <w:adjustRightInd w:val="0"/>
        <w:spacing w:line="560" w:lineRule="exact"/>
        <w:ind w:firstLine="627" w:firstLineChars="196"/>
        <w:jc w:val="both"/>
        <w:rPr>
          <w:rFonts w:hint="eastAsia" w:ascii="仿宋" w:hAnsi="仿宋" w:eastAsia="仿宋" w:cs="仿宋"/>
          <w:bCs/>
          <w:kern w:val="0"/>
          <w:sz w:val="32"/>
          <w:szCs w:val="32"/>
        </w:rPr>
      </w:pPr>
      <w:r>
        <w:rPr>
          <w:rFonts w:hint="eastAsia" w:ascii="仿宋" w:hAnsi="仿宋" w:eastAsia="仿宋" w:cs="仿宋"/>
          <w:kern w:val="0"/>
          <w:sz w:val="32"/>
          <w:szCs w:val="32"/>
        </w:rPr>
        <w:t>2.政府性基金预算财政拨款收入0.00万元，为河池市本级财政当年拨付的资金。较202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年度决算数增加0.00万元，增长0%，主要原因：本单位无政府性基金预算财政拨款收入。</w:t>
      </w:r>
    </w:p>
    <w:p w14:paraId="38A65C74">
      <w:pPr>
        <w:autoSpaceDE w:val="0"/>
        <w:autoSpaceDN w:val="0"/>
        <w:adjustRightInd w:val="0"/>
        <w:spacing w:line="560" w:lineRule="exact"/>
        <w:ind w:firstLine="627" w:firstLineChars="196"/>
        <w:jc w:val="both"/>
        <w:rPr>
          <w:rFonts w:hint="eastAsia" w:ascii="仿宋" w:hAnsi="仿宋" w:eastAsia="仿宋" w:cs="仿宋"/>
          <w:kern w:val="0"/>
          <w:sz w:val="32"/>
          <w:szCs w:val="32"/>
        </w:rPr>
      </w:pPr>
      <w:r>
        <w:rPr>
          <w:rFonts w:hint="eastAsia" w:ascii="仿宋" w:hAnsi="仿宋" w:eastAsia="仿宋" w:cs="仿宋"/>
          <w:bCs/>
          <w:kern w:val="0"/>
          <w:sz w:val="32"/>
          <w:szCs w:val="32"/>
        </w:rPr>
        <w:t>3</w:t>
      </w:r>
      <w:r>
        <w:rPr>
          <w:rFonts w:hint="eastAsia" w:ascii="仿宋" w:hAnsi="仿宋" w:eastAsia="仿宋" w:cs="仿宋"/>
          <w:kern w:val="0"/>
          <w:sz w:val="32"/>
          <w:szCs w:val="32"/>
        </w:rPr>
        <w:t>.国有资本经营预算财政拨款收入0.00万元。为河池市本级财政当年拨付的资金。较2021年度决算数增加0.00万元，增长0%，主要原因是：本单位无国有资本经营预算财政拨款收入。</w:t>
      </w:r>
    </w:p>
    <w:p w14:paraId="5D192BED">
      <w:pPr>
        <w:autoSpaceDE w:val="0"/>
        <w:autoSpaceDN w:val="0"/>
        <w:adjustRightInd w:val="0"/>
        <w:spacing w:line="560" w:lineRule="exact"/>
        <w:ind w:firstLine="627" w:firstLineChars="196"/>
        <w:jc w:val="both"/>
        <w:rPr>
          <w:rFonts w:hint="eastAsia" w:ascii="仿宋" w:hAnsi="仿宋" w:eastAsia="仿宋" w:cs="仿宋"/>
          <w:kern w:val="0"/>
          <w:sz w:val="32"/>
          <w:szCs w:val="32"/>
        </w:rPr>
      </w:pPr>
      <w:r>
        <w:rPr>
          <w:rFonts w:hint="eastAsia" w:ascii="仿宋" w:hAnsi="仿宋" w:eastAsia="仿宋" w:cs="仿宋"/>
          <w:kern w:val="0"/>
          <w:sz w:val="32"/>
          <w:szCs w:val="32"/>
        </w:rPr>
        <w:t>4.事业收入</w:t>
      </w:r>
      <w:r>
        <w:rPr>
          <w:rFonts w:hint="eastAsia" w:ascii="仿宋" w:hAnsi="仿宋" w:eastAsia="仿宋" w:cs="仿宋"/>
          <w:kern w:val="0"/>
          <w:sz w:val="32"/>
          <w:szCs w:val="32"/>
          <w:lang w:val="en-US" w:eastAsia="zh-CN"/>
        </w:rPr>
        <w:t>258.94</w:t>
      </w:r>
      <w:r>
        <w:rPr>
          <w:rFonts w:hint="eastAsia" w:ascii="仿宋" w:hAnsi="仿宋" w:eastAsia="仿宋" w:cs="仿宋"/>
          <w:kern w:val="0"/>
          <w:sz w:val="32"/>
          <w:szCs w:val="32"/>
        </w:rPr>
        <w:t>万元，为事业单位开展业务活动取得的收入。较202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年度决算数增加</w:t>
      </w:r>
      <w:r>
        <w:rPr>
          <w:rFonts w:hint="eastAsia" w:ascii="仿宋" w:hAnsi="仿宋" w:eastAsia="仿宋" w:cs="仿宋"/>
          <w:kern w:val="0"/>
          <w:sz w:val="32"/>
          <w:szCs w:val="32"/>
          <w:lang w:val="en-US" w:eastAsia="zh-CN"/>
        </w:rPr>
        <w:t>111.99</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76.21</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新增科室增加收入</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kern w:val="0"/>
          <w:sz w:val="32"/>
          <w:szCs w:val="32"/>
        </w:rPr>
        <w:t>。</w:t>
      </w:r>
    </w:p>
    <w:p w14:paraId="1F948259">
      <w:pPr>
        <w:autoSpaceDE w:val="0"/>
        <w:autoSpaceDN w:val="0"/>
        <w:adjustRightInd w:val="0"/>
        <w:spacing w:line="560" w:lineRule="exact"/>
        <w:ind w:firstLine="627" w:firstLineChars="196"/>
        <w:jc w:val="both"/>
        <w:rPr>
          <w:rFonts w:hint="eastAsia" w:ascii="仿宋" w:hAnsi="仿宋" w:eastAsia="仿宋" w:cs="仿宋"/>
          <w:kern w:val="0"/>
          <w:sz w:val="32"/>
          <w:szCs w:val="32"/>
        </w:rPr>
      </w:pPr>
      <w:r>
        <w:rPr>
          <w:rFonts w:hint="eastAsia" w:ascii="仿宋" w:hAnsi="仿宋" w:eastAsia="仿宋" w:cs="仿宋"/>
          <w:bCs/>
          <w:kern w:val="0"/>
          <w:sz w:val="32"/>
          <w:szCs w:val="32"/>
        </w:rPr>
        <w:t>5</w:t>
      </w:r>
      <w:r>
        <w:rPr>
          <w:rFonts w:hint="eastAsia" w:ascii="仿宋" w:hAnsi="仿宋" w:eastAsia="仿宋" w:cs="仿宋"/>
          <w:kern w:val="0"/>
          <w:sz w:val="32"/>
          <w:szCs w:val="32"/>
        </w:rPr>
        <w:t>.经营收入0.00万，为事业单位在业务活动之外开展非独立核算经营活动取得的收入。较202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年度决算数增加0.00万元，增长0%，主要原因是：本单位没有经营性收入。</w:t>
      </w:r>
    </w:p>
    <w:p w14:paraId="6B43696D">
      <w:pPr>
        <w:autoSpaceDE w:val="0"/>
        <w:autoSpaceDN w:val="0"/>
        <w:adjustRightInd w:val="0"/>
        <w:spacing w:line="560" w:lineRule="exact"/>
        <w:ind w:firstLine="627" w:firstLineChars="196"/>
        <w:jc w:val="both"/>
        <w:rPr>
          <w:rFonts w:hint="eastAsia" w:ascii="仿宋" w:hAnsi="仿宋" w:eastAsia="仿宋" w:cs="仿宋"/>
          <w:kern w:val="0"/>
          <w:sz w:val="32"/>
          <w:szCs w:val="32"/>
        </w:rPr>
      </w:pPr>
      <w:r>
        <w:rPr>
          <w:rFonts w:hint="eastAsia" w:ascii="仿宋" w:hAnsi="仿宋" w:eastAsia="仿宋" w:cs="仿宋"/>
          <w:bCs/>
          <w:kern w:val="0"/>
          <w:sz w:val="32"/>
          <w:szCs w:val="32"/>
        </w:rPr>
        <w:t>6</w:t>
      </w:r>
      <w:r>
        <w:rPr>
          <w:rFonts w:hint="eastAsia" w:ascii="仿宋" w:hAnsi="仿宋" w:eastAsia="仿宋" w:cs="仿宋"/>
          <w:kern w:val="0"/>
          <w:sz w:val="32"/>
          <w:szCs w:val="32"/>
        </w:rPr>
        <w:t>.其他收入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万元，为预算单位在“财政拨款收入”</w:t>
      </w:r>
    </w:p>
    <w:p w14:paraId="49EC64EC">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“事业收入”“经营收入”之外取得的收入。如：较202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年度决算数减少</w:t>
      </w:r>
      <w:r>
        <w:rPr>
          <w:rFonts w:hint="eastAsia" w:ascii="仿宋" w:hAnsi="仿宋" w:eastAsia="仿宋" w:cs="仿宋"/>
          <w:kern w:val="0"/>
          <w:sz w:val="32"/>
          <w:szCs w:val="32"/>
          <w:lang w:val="en-US" w:eastAsia="zh-CN"/>
        </w:rPr>
        <w:t>0.48</w:t>
      </w:r>
      <w:r>
        <w:rPr>
          <w:rFonts w:hint="eastAsia" w:ascii="仿宋" w:hAnsi="仿宋" w:eastAsia="仿宋" w:cs="仿宋"/>
          <w:kern w:val="0"/>
          <w:sz w:val="32"/>
          <w:szCs w:val="32"/>
        </w:rPr>
        <w:t>万元，下降</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w:t>
      </w:r>
      <w:r>
        <w:rPr>
          <w:rFonts w:hint="eastAsia" w:ascii="仿宋" w:hAnsi="仿宋" w:eastAsia="仿宋" w:cs="仿宋"/>
          <w:color w:val="auto"/>
          <w:kern w:val="2"/>
          <w:sz w:val="32"/>
          <w:szCs w:val="32"/>
          <w:highlight w:val="none"/>
          <w:lang w:val="en-US" w:eastAsia="zh-CN" w:bidi="ar"/>
        </w:rPr>
        <w:t>本单位无其他收入。</w:t>
      </w:r>
    </w:p>
    <w:p w14:paraId="43CA8402">
      <w:pPr>
        <w:autoSpaceDE w:val="0"/>
        <w:autoSpaceDN w:val="0"/>
        <w:adjustRightInd w:val="0"/>
        <w:spacing w:line="560" w:lineRule="exact"/>
        <w:ind w:firstLine="627" w:firstLineChars="196"/>
        <w:jc w:val="both"/>
        <w:rPr>
          <w:rFonts w:hint="eastAsia" w:ascii="仿宋" w:hAnsi="仿宋" w:eastAsia="仿宋" w:cs="仿宋"/>
          <w:bCs/>
          <w:kern w:val="0"/>
          <w:sz w:val="32"/>
          <w:szCs w:val="32"/>
        </w:rPr>
      </w:pPr>
      <w:r>
        <w:rPr>
          <w:rFonts w:hint="eastAsia" w:ascii="仿宋" w:hAnsi="仿宋" w:eastAsia="仿宋" w:cs="仿宋"/>
          <w:bCs/>
          <w:kern w:val="0"/>
          <w:sz w:val="32"/>
          <w:szCs w:val="32"/>
        </w:rPr>
        <w:t>7</w:t>
      </w:r>
      <w:r>
        <w:rPr>
          <w:rFonts w:hint="eastAsia" w:ascii="仿宋" w:hAnsi="仿宋" w:eastAsia="仿宋" w:cs="仿宋"/>
          <w:kern w:val="0"/>
          <w:sz w:val="32"/>
          <w:szCs w:val="32"/>
        </w:rPr>
        <w:t>.使用非财政拨款结余0.00万元，主要是所属事业单位在当年的“财政拨款收入”“事业收入”“经营收入”及“其他收入”不能保证其支出的情况下，使用以前年度积累的非财政拨款结余弥补本年度收支缺口的资金。较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年度决算数增加0.00万元，增长0%，主要原因是：本单位无非财政拨款结余。</w:t>
      </w:r>
    </w:p>
    <w:p w14:paraId="0E1F779C">
      <w:pPr>
        <w:autoSpaceDE w:val="0"/>
        <w:autoSpaceDN w:val="0"/>
        <w:adjustRightInd w:val="0"/>
        <w:spacing w:line="560" w:lineRule="exact"/>
        <w:ind w:firstLine="627" w:firstLineChars="196"/>
        <w:jc w:val="both"/>
        <w:rPr>
          <w:rFonts w:hint="eastAsia" w:ascii="仿宋" w:hAnsi="仿宋" w:eastAsia="仿宋" w:cs="仿宋"/>
          <w:kern w:val="0"/>
          <w:sz w:val="32"/>
          <w:szCs w:val="32"/>
        </w:rPr>
      </w:pPr>
      <w:r>
        <w:rPr>
          <w:rFonts w:hint="eastAsia" w:ascii="仿宋" w:hAnsi="仿宋" w:eastAsia="仿宋" w:cs="仿宋"/>
          <w:bCs/>
          <w:kern w:val="0"/>
          <w:sz w:val="32"/>
          <w:szCs w:val="32"/>
        </w:rPr>
        <w:t>8</w:t>
      </w:r>
      <w:r>
        <w:rPr>
          <w:rFonts w:hint="eastAsia" w:ascii="仿宋" w:hAnsi="仿宋" w:eastAsia="仿宋" w:cs="仿宋"/>
          <w:kern w:val="0"/>
          <w:sz w:val="32"/>
          <w:szCs w:val="32"/>
        </w:rPr>
        <w:t>.上年结转和结余0.00万元，为以前年度支出预算因客观条件变化未执行完毕、结转到本年度按有关规定继续使用的资金。较202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年度决算数减少0.00万元，下降0%，主要原因：部分项目已在本年执行完毕，不需要结转至下年继续执行。</w:t>
      </w:r>
    </w:p>
    <w:p w14:paraId="7E3962ED">
      <w:pPr>
        <w:autoSpaceDE w:val="0"/>
        <w:autoSpaceDN w:val="0"/>
        <w:adjustRightInd w:val="0"/>
        <w:spacing w:line="560" w:lineRule="exact"/>
        <w:ind w:firstLine="627" w:firstLineChars="196"/>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（二）本部门202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年度总支出</w:t>
      </w:r>
      <w:r>
        <w:rPr>
          <w:rFonts w:hint="eastAsia" w:ascii="仿宋" w:hAnsi="仿宋" w:eastAsia="仿宋" w:cs="仿宋"/>
          <w:kern w:val="0"/>
          <w:sz w:val="32"/>
          <w:szCs w:val="32"/>
          <w:lang w:val="en-US" w:eastAsia="zh-CN"/>
        </w:rPr>
        <w:t>740.22</w:t>
      </w:r>
      <w:r>
        <w:rPr>
          <w:rFonts w:hint="eastAsia" w:ascii="仿宋" w:hAnsi="仿宋" w:eastAsia="仿宋" w:cs="仿宋"/>
          <w:kern w:val="0"/>
          <w:sz w:val="32"/>
          <w:szCs w:val="32"/>
        </w:rPr>
        <w:t>万元，其中本年支出</w:t>
      </w:r>
      <w:r>
        <w:rPr>
          <w:rFonts w:hint="eastAsia" w:ascii="仿宋" w:hAnsi="仿宋" w:eastAsia="仿宋" w:cs="仿宋"/>
          <w:kern w:val="0"/>
          <w:sz w:val="32"/>
          <w:szCs w:val="32"/>
          <w:lang w:val="en-US" w:eastAsia="zh-CN"/>
        </w:rPr>
        <w:t>740.22万元,</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kern w:val="0"/>
          <w:sz w:val="32"/>
          <w:szCs w:val="32"/>
          <w:lang w:val="en-US" w:eastAsia="zh-CN"/>
        </w:rPr>
        <w:t>较2022年度决算数增加174.47万元，增长30.84%。支出具体情况如下：</w:t>
      </w:r>
    </w:p>
    <w:p w14:paraId="3E281366">
      <w:pPr>
        <w:autoSpaceDE w:val="0"/>
        <w:autoSpaceDN w:val="0"/>
        <w:adjustRightInd w:val="0"/>
        <w:spacing w:line="560" w:lineRule="exact"/>
        <w:ind w:firstLine="627" w:firstLineChars="196"/>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1.一般公共服务支出2.86万元：主要用于医疗卫生机构支出。较2022年度决算数增加2.86万元，上涨100%，主要原因是一般公共服务支出增加。</w:t>
      </w:r>
    </w:p>
    <w:p w14:paraId="3EF6DB7E">
      <w:pPr>
        <w:autoSpaceDE w:val="0"/>
        <w:autoSpaceDN w:val="0"/>
        <w:adjustRightInd w:val="0"/>
        <w:spacing w:line="560" w:lineRule="exact"/>
        <w:ind w:firstLine="627" w:firstLineChars="196"/>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社会保障和就业支出（208 类）</w:t>
      </w:r>
      <w:r>
        <w:rPr>
          <w:rFonts w:hint="eastAsia" w:ascii="仿宋" w:hAnsi="仿宋" w:eastAsia="仿宋" w:cs="仿宋"/>
          <w:kern w:val="0"/>
          <w:sz w:val="32"/>
          <w:szCs w:val="32"/>
          <w:lang w:val="en-US" w:eastAsia="zh-CN"/>
        </w:rPr>
        <w:t>34.73</w:t>
      </w:r>
      <w:r>
        <w:rPr>
          <w:rFonts w:hint="eastAsia" w:ascii="仿宋" w:hAnsi="仿宋" w:eastAsia="仿宋" w:cs="仿宋"/>
          <w:kern w:val="0"/>
          <w:sz w:val="32"/>
          <w:szCs w:val="32"/>
        </w:rPr>
        <w:t>万元：主要用于</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机关事业单位基本养老保险缴费支出</w:t>
      </w:r>
      <w:r>
        <w:rPr>
          <w:rFonts w:hint="eastAsia" w:ascii="仿宋" w:hAnsi="仿宋" w:eastAsia="仿宋" w:cs="仿宋"/>
          <w:kern w:val="0"/>
          <w:sz w:val="32"/>
          <w:szCs w:val="32"/>
        </w:rPr>
        <w:t>。较202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增加16.79</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增长93.59</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主要原因是：人员增加，养老保险缴费随之增加。</w:t>
      </w:r>
    </w:p>
    <w:p w14:paraId="7C6BDBEF">
      <w:pPr>
        <w:autoSpaceDE w:val="0"/>
        <w:autoSpaceDN w:val="0"/>
        <w:adjustRightInd w:val="0"/>
        <w:spacing w:line="560" w:lineRule="exact"/>
        <w:ind w:firstLine="627" w:firstLineChars="196"/>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3.卫生健康支出（210 类）669.21万元：主要用于：乡镇卫生院医疗支出、基层医疗卫生机构支出、公共卫生支出、中医药项目支出。较2022年度决算数增加158.48万元，上涨31.03%，主要原因是：新增中医药项目、乡镇卫生院医疗支出增加。</w:t>
      </w:r>
    </w:p>
    <w:p w14:paraId="7B82BF06">
      <w:pPr>
        <w:autoSpaceDE w:val="0"/>
        <w:autoSpaceDN w:val="0"/>
        <w:adjustRightInd w:val="0"/>
        <w:spacing w:line="560" w:lineRule="exact"/>
        <w:ind w:firstLine="627" w:firstLineChars="196"/>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4.住房保障支出（221 类）18.75万元：主要用于：在职人员住房公积金支出。较2022年度决算数增加3.82万元，下降25.59%，主要原因是：人员增加，住房公积金随之增加。</w:t>
      </w:r>
    </w:p>
    <w:p w14:paraId="677F6461">
      <w:pPr>
        <w:autoSpaceDE w:val="0"/>
        <w:autoSpaceDN w:val="0"/>
        <w:adjustRightInd w:val="0"/>
        <w:spacing w:line="560" w:lineRule="exact"/>
        <w:ind w:firstLine="627" w:firstLineChars="196"/>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5.其他支出（229类）14.67万元：主要用于：房屋翻新装修。较2021年度决算数减少7.43万元，下降33.62%，主要原因是：2022年院内房屋翻新装修等支出幅度大，2023年无大型开支。</w:t>
      </w:r>
    </w:p>
    <w:p w14:paraId="63FD340B">
      <w:pPr>
        <w:autoSpaceDE w:val="0"/>
        <w:autoSpaceDN w:val="0"/>
        <w:adjustRightInd w:val="0"/>
        <w:spacing w:line="560" w:lineRule="exact"/>
        <w:ind w:firstLine="627" w:firstLineChars="196"/>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4.结余分配2.79万元，为事业单位按规定提取的专用结余、缴纳所得税和转入非财政拨款结余等。较2022年度决算数增加2.74万元，增长5480%，主要原因是事业收入上涨。</w:t>
      </w:r>
    </w:p>
    <w:p w14:paraId="0275B205">
      <w:pPr>
        <w:autoSpaceDE w:val="0"/>
        <w:autoSpaceDN w:val="0"/>
        <w:adjustRightInd w:val="0"/>
        <w:spacing w:line="560" w:lineRule="exact"/>
        <w:ind w:firstLine="627" w:firstLineChars="196"/>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年末结转和结余0.00万元，为本年度或以前年度预算安排、因客观条件发生变化无法按原计划实施，需要延迟到以后年度按有关规定继续使用的资金。较2022年度决算数减少0万元，下降0%，主要原因是：本单位2023年无年末结转和结余。</w:t>
      </w:r>
    </w:p>
    <w:p w14:paraId="22B04EB5">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6188F32D">
      <w:pPr>
        <w:autoSpaceDE w:val="0"/>
        <w:autoSpaceDN w:val="0"/>
        <w:adjustRightInd w:val="0"/>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龙岩乡卫生院2023</w:t>
      </w:r>
      <w:r>
        <w:rPr>
          <w:rFonts w:hint="eastAsia" w:ascii="仿宋" w:hAnsi="仿宋" w:eastAsia="仿宋" w:cs="仿宋"/>
          <w:kern w:val="0"/>
          <w:sz w:val="32"/>
          <w:szCs w:val="32"/>
        </w:rPr>
        <w:t>年度</w:t>
      </w:r>
      <w:r>
        <w:rPr>
          <w:rFonts w:hint="eastAsia" w:ascii="仿宋" w:hAnsi="仿宋" w:eastAsia="仿宋" w:cs="仿宋"/>
          <w:sz w:val="32"/>
          <w:szCs w:val="32"/>
        </w:rPr>
        <w:t>一般</w:t>
      </w:r>
      <w:r>
        <w:rPr>
          <w:rFonts w:hint="eastAsia" w:ascii="仿宋" w:hAnsi="仿宋" w:eastAsia="仿宋" w:cs="仿宋"/>
          <w:kern w:val="0"/>
          <w:sz w:val="32"/>
          <w:szCs w:val="32"/>
        </w:rPr>
        <w:t>公共预算财政拨款支出</w:t>
      </w:r>
      <w:r>
        <w:rPr>
          <w:rFonts w:hint="eastAsia" w:ascii="仿宋" w:hAnsi="仿宋" w:eastAsia="仿宋" w:cs="仿宋"/>
          <w:kern w:val="0"/>
          <w:sz w:val="32"/>
          <w:szCs w:val="32"/>
          <w:lang w:val="en-US" w:eastAsia="zh-CN"/>
        </w:rPr>
        <w:t>740.22</w:t>
      </w:r>
      <w:r>
        <w:rPr>
          <w:rFonts w:hint="eastAsia" w:ascii="仿宋" w:hAnsi="仿宋" w:eastAsia="仿宋" w:cs="仿宋"/>
          <w:kern w:val="0"/>
          <w:sz w:val="32"/>
          <w:szCs w:val="32"/>
        </w:rPr>
        <w:t>万元，较202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年度决算数增加</w:t>
      </w:r>
      <w:r>
        <w:rPr>
          <w:rFonts w:hint="eastAsia" w:ascii="仿宋" w:hAnsi="仿宋" w:eastAsia="仿宋" w:cs="仿宋"/>
          <w:kern w:val="0"/>
          <w:sz w:val="32"/>
          <w:szCs w:val="32"/>
          <w:lang w:val="en-US" w:eastAsia="zh-CN"/>
        </w:rPr>
        <w:t>321.90</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76.95</w:t>
      </w:r>
      <w:r>
        <w:rPr>
          <w:rFonts w:hint="eastAsia" w:ascii="仿宋" w:hAnsi="仿宋" w:eastAsia="仿宋" w:cs="仿宋"/>
          <w:kern w:val="0"/>
          <w:sz w:val="32"/>
          <w:szCs w:val="32"/>
        </w:rPr>
        <w:t>%。其中：基本支出</w:t>
      </w:r>
      <w:r>
        <w:rPr>
          <w:rFonts w:hint="eastAsia" w:ascii="仿宋" w:hAnsi="仿宋" w:eastAsia="仿宋" w:cs="仿宋"/>
          <w:kern w:val="0"/>
          <w:sz w:val="32"/>
          <w:szCs w:val="32"/>
          <w:lang w:val="en-US" w:eastAsia="zh-CN"/>
        </w:rPr>
        <w:t>507.85</w:t>
      </w:r>
      <w:r>
        <w:rPr>
          <w:rFonts w:hint="eastAsia" w:ascii="仿宋" w:hAnsi="仿宋" w:eastAsia="仿宋" w:cs="仿宋"/>
          <w:kern w:val="0"/>
          <w:sz w:val="32"/>
          <w:szCs w:val="32"/>
        </w:rPr>
        <w:t>万元，项目支出</w:t>
      </w:r>
      <w:r>
        <w:rPr>
          <w:rFonts w:hint="eastAsia" w:ascii="仿宋" w:hAnsi="仿宋" w:eastAsia="仿宋" w:cs="仿宋"/>
          <w:kern w:val="0"/>
          <w:sz w:val="32"/>
          <w:szCs w:val="32"/>
          <w:lang w:val="en-US" w:eastAsia="zh-CN"/>
        </w:rPr>
        <w:t>232.36</w:t>
      </w:r>
      <w:r>
        <w:rPr>
          <w:rFonts w:hint="eastAsia" w:ascii="仿宋" w:hAnsi="仿宋" w:eastAsia="仿宋" w:cs="仿宋"/>
          <w:kern w:val="0"/>
          <w:sz w:val="32"/>
          <w:szCs w:val="32"/>
        </w:rPr>
        <w:t>万元。</w:t>
      </w:r>
    </w:p>
    <w:p w14:paraId="0EC7382A">
      <w:pPr>
        <w:numPr>
          <w:ilvl w:val="0"/>
          <w:numId w:val="2"/>
        </w:numPr>
        <w:autoSpaceDE w:val="0"/>
        <w:autoSpaceDN w:val="0"/>
        <w:adjustRightInd w:val="0"/>
        <w:spacing w:line="560" w:lineRule="exact"/>
        <w:ind w:left="-207" w:leftChars="0" w:firstLine="600" w:firstLineChars="0"/>
        <w:jc w:val="both"/>
        <w:rPr>
          <w:rFonts w:hint="eastAsia" w:ascii="仿宋" w:hAnsi="仿宋" w:eastAsia="仿宋" w:cs="仿宋"/>
          <w:color w:val="auto"/>
        </w:rPr>
      </w:pPr>
      <w:r>
        <w:rPr>
          <w:rFonts w:hint="eastAsia" w:ascii="仿宋" w:hAnsi="仿宋" w:eastAsia="仿宋" w:cs="仿宋"/>
          <w:color w:val="auto"/>
          <w:kern w:val="0"/>
          <w:sz w:val="32"/>
          <w:szCs w:val="32"/>
        </w:rPr>
        <w:t>一般公共服务支出（类）年初预算为</w:t>
      </w:r>
      <w:r>
        <w:rPr>
          <w:rFonts w:hint="eastAsia" w:ascii="仿宋" w:hAnsi="仿宋" w:eastAsia="仿宋" w:cs="仿宋"/>
          <w:color w:val="auto"/>
          <w:kern w:val="0"/>
          <w:sz w:val="32"/>
          <w:szCs w:val="32"/>
          <w:lang w:val="en-US" w:eastAsia="zh-CN"/>
        </w:rPr>
        <w:t>2.86</w:t>
      </w:r>
      <w:r>
        <w:rPr>
          <w:rFonts w:hint="eastAsia" w:ascii="仿宋" w:hAnsi="仿宋" w:eastAsia="仿宋" w:cs="仿宋"/>
          <w:color w:val="auto"/>
          <w:kern w:val="0"/>
          <w:sz w:val="32"/>
          <w:szCs w:val="32"/>
        </w:rPr>
        <w:t>万元，支出决算为</w:t>
      </w:r>
      <w:r>
        <w:rPr>
          <w:rFonts w:hint="eastAsia" w:ascii="仿宋" w:hAnsi="仿宋" w:eastAsia="仿宋" w:cs="仿宋"/>
          <w:color w:val="auto"/>
          <w:kern w:val="0"/>
          <w:sz w:val="32"/>
          <w:szCs w:val="32"/>
          <w:lang w:val="en-US" w:eastAsia="zh-CN"/>
        </w:rPr>
        <w:t>2.86</w:t>
      </w:r>
      <w:r>
        <w:rPr>
          <w:rFonts w:hint="eastAsia" w:ascii="仿宋" w:hAnsi="仿宋" w:eastAsia="仿宋" w:cs="仿宋"/>
          <w:color w:val="auto"/>
          <w:kern w:val="0"/>
          <w:sz w:val="32"/>
          <w:szCs w:val="32"/>
        </w:rPr>
        <w:t>万元，完成年初预算的</w:t>
      </w:r>
      <w:r>
        <w:rPr>
          <w:rFonts w:hint="eastAsia" w:ascii="仿宋" w:hAnsi="仿宋" w:eastAsia="仿宋" w:cs="仿宋"/>
          <w:color w:val="auto"/>
          <w:kern w:val="0"/>
          <w:sz w:val="32"/>
          <w:szCs w:val="32"/>
          <w:lang w:val="en-US" w:eastAsia="zh-CN"/>
        </w:rPr>
        <w:t>100</w:t>
      </w:r>
      <w:r>
        <w:rPr>
          <w:rFonts w:hint="eastAsia" w:ascii="仿宋" w:hAnsi="仿宋" w:eastAsia="仿宋" w:cs="仿宋"/>
          <w:color w:val="auto"/>
          <w:kern w:val="0"/>
          <w:sz w:val="32"/>
          <w:szCs w:val="32"/>
        </w:rPr>
        <w:t>%。主要用于一般公共服务支出</w:t>
      </w:r>
      <w:r>
        <w:rPr>
          <w:rFonts w:hint="eastAsia" w:ascii="仿宋" w:hAnsi="仿宋" w:eastAsia="仿宋" w:cs="仿宋"/>
          <w:color w:val="auto"/>
          <w:kern w:val="0"/>
          <w:sz w:val="32"/>
          <w:szCs w:val="32"/>
          <w:lang w:eastAsia="zh-CN"/>
        </w:rPr>
        <w:t>。</w:t>
      </w:r>
    </w:p>
    <w:p w14:paraId="39FD4038">
      <w:pPr>
        <w:numPr>
          <w:ilvl w:val="0"/>
          <w:numId w:val="2"/>
        </w:numPr>
        <w:autoSpaceDE w:val="0"/>
        <w:autoSpaceDN w:val="0"/>
        <w:adjustRightInd w:val="0"/>
        <w:spacing w:line="560" w:lineRule="exact"/>
        <w:ind w:left="-207" w:leftChars="0" w:firstLine="600" w:firstLineChars="0"/>
        <w:jc w:val="both"/>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社会保障和就业支出（208类）年初预算为</w:t>
      </w:r>
      <w:r>
        <w:rPr>
          <w:rFonts w:hint="eastAsia" w:ascii="仿宋" w:hAnsi="仿宋" w:eastAsia="仿宋" w:cs="仿宋"/>
          <w:color w:val="auto"/>
          <w:kern w:val="0"/>
          <w:sz w:val="32"/>
          <w:szCs w:val="32"/>
          <w:lang w:val="en-US" w:eastAsia="zh-CN"/>
        </w:rPr>
        <w:t>34.73</w:t>
      </w:r>
      <w:r>
        <w:rPr>
          <w:rFonts w:hint="eastAsia" w:ascii="仿宋" w:hAnsi="仿宋" w:eastAsia="仿宋" w:cs="仿宋"/>
          <w:color w:val="auto"/>
          <w:kern w:val="0"/>
          <w:sz w:val="32"/>
          <w:szCs w:val="32"/>
        </w:rPr>
        <w:t>万元，支出决算为</w:t>
      </w:r>
      <w:r>
        <w:rPr>
          <w:rFonts w:hint="eastAsia" w:ascii="仿宋" w:hAnsi="仿宋" w:eastAsia="仿宋" w:cs="仿宋"/>
          <w:color w:val="auto"/>
          <w:kern w:val="0"/>
          <w:sz w:val="32"/>
          <w:szCs w:val="32"/>
          <w:lang w:val="en-US" w:eastAsia="zh-CN"/>
        </w:rPr>
        <w:t>34.73</w:t>
      </w:r>
      <w:r>
        <w:rPr>
          <w:rFonts w:hint="eastAsia" w:ascii="仿宋" w:hAnsi="仿宋" w:eastAsia="仿宋" w:cs="仿宋"/>
          <w:color w:val="auto"/>
          <w:kern w:val="0"/>
          <w:sz w:val="32"/>
          <w:szCs w:val="32"/>
        </w:rPr>
        <w:t>万元，完成年初预算的</w:t>
      </w:r>
      <w:r>
        <w:rPr>
          <w:rFonts w:hint="eastAsia" w:ascii="仿宋" w:hAnsi="仿宋" w:eastAsia="仿宋" w:cs="仿宋"/>
          <w:color w:val="auto"/>
          <w:kern w:val="0"/>
          <w:sz w:val="32"/>
          <w:szCs w:val="32"/>
          <w:lang w:val="en-US" w:eastAsia="zh-CN"/>
        </w:rPr>
        <w:t>100</w:t>
      </w:r>
      <w:r>
        <w:rPr>
          <w:rFonts w:hint="eastAsia" w:ascii="仿宋" w:hAnsi="仿宋" w:eastAsia="仿宋" w:cs="仿宋"/>
          <w:color w:val="auto"/>
          <w:kern w:val="0"/>
          <w:sz w:val="32"/>
          <w:szCs w:val="32"/>
        </w:rPr>
        <w:t>%。</w:t>
      </w:r>
    </w:p>
    <w:p w14:paraId="19E659A6">
      <w:pPr>
        <w:numPr>
          <w:ilvl w:val="0"/>
          <w:numId w:val="2"/>
        </w:numPr>
        <w:autoSpaceDE w:val="0"/>
        <w:autoSpaceDN w:val="0"/>
        <w:adjustRightInd w:val="0"/>
        <w:spacing w:line="560" w:lineRule="exact"/>
        <w:ind w:left="-207" w:leftChars="0" w:firstLine="600" w:firstLineChars="0"/>
        <w:jc w:val="both"/>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卫生健康支出（210类）年初预算为</w:t>
      </w:r>
      <w:r>
        <w:rPr>
          <w:rFonts w:hint="eastAsia" w:ascii="仿宋" w:hAnsi="仿宋" w:eastAsia="仿宋" w:cs="仿宋"/>
          <w:color w:val="auto"/>
          <w:kern w:val="0"/>
          <w:sz w:val="32"/>
          <w:szCs w:val="32"/>
          <w:lang w:val="en-US" w:eastAsia="zh-CN"/>
        </w:rPr>
        <w:t>260.51</w:t>
      </w:r>
      <w:r>
        <w:rPr>
          <w:rFonts w:hint="eastAsia" w:ascii="仿宋" w:hAnsi="仿宋" w:eastAsia="仿宋" w:cs="仿宋"/>
          <w:color w:val="auto"/>
          <w:kern w:val="0"/>
          <w:sz w:val="32"/>
          <w:szCs w:val="32"/>
        </w:rPr>
        <w:t>万元，支出决算为</w:t>
      </w:r>
      <w:r>
        <w:rPr>
          <w:rFonts w:hint="eastAsia" w:ascii="仿宋" w:hAnsi="仿宋" w:eastAsia="仿宋" w:cs="仿宋"/>
          <w:color w:val="auto"/>
          <w:kern w:val="0"/>
          <w:sz w:val="32"/>
          <w:szCs w:val="32"/>
          <w:lang w:val="en-US" w:eastAsia="zh-CN"/>
        </w:rPr>
        <w:t>669.21</w:t>
      </w:r>
      <w:r>
        <w:rPr>
          <w:rFonts w:hint="eastAsia" w:ascii="仿宋" w:hAnsi="仿宋" w:eastAsia="仿宋" w:cs="仿宋"/>
          <w:color w:val="auto"/>
          <w:kern w:val="0"/>
          <w:sz w:val="32"/>
          <w:szCs w:val="32"/>
        </w:rPr>
        <w:t>万元，完成年初预算的</w:t>
      </w:r>
      <w:r>
        <w:rPr>
          <w:rFonts w:hint="eastAsia" w:ascii="仿宋" w:hAnsi="仿宋" w:eastAsia="仿宋" w:cs="仿宋"/>
          <w:color w:val="auto"/>
          <w:kern w:val="0"/>
          <w:sz w:val="32"/>
          <w:szCs w:val="32"/>
          <w:lang w:val="en-US" w:eastAsia="zh-CN"/>
        </w:rPr>
        <w:t>156.88</w:t>
      </w:r>
      <w:r>
        <w:rPr>
          <w:rFonts w:hint="eastAsia" w:ascii="仿宋" w:hAnsi="仿宋" w:eastAsia="仿宋" w:cs="仿宋"/>
          <w:color w:val="auto"/>
          <w:kern w:val="0"/>
          <w:sz w:val="32"/>
          <w:szCs w:val="32"/>
        </w:rPr>
        <w:t>%。预决算</w:t>
      </w:r>
      <w:r>
        <w:rPr>
          <w:rFonts w:hint="eastAsia" w:ascii="仿宋" w:hAnsi="仿宋" w:eastAsia="仿宋" w:cs="仿宋"/>
          <w:color w:val="auto"/>
          <w:kern w:val="0"/>
          <w:sz w:val="32"/>
          <w:szCs w:val="32"/>
          <w:lang w:val="en-US" w:eastAsia="zh-CN"/>
        </w:rPr>
        <w:t>存有</w:t>
      </w:r>
      <w:r>
        <w:rPr>
          <w:rFonts w:hint="eastAsia" w:ascii="仿宋" w:hAnsi="仿宋" w:eastAsia="仿宋" w:cs="仿宋"/>
          <w:color w:val="auto"/>
          <w:kern w:val="0"/>
          <w:sz w:val="32"/>
          <w:szCs w:val="32"/>
        </w:rPr>
        <w:t>差异</w:t>
      </w:r>
      <w:r>
        <w:rPr>
          <w:rFonts w:hint="eastAsia" w:ascii="仿宋" w:hAnsi="仿宋" w:eastAsia="仿宋" w:cs="仿宋"/>
          <w:color w:val="auto"/>
          <w:kern w:val="0"/>
          <w:sz w:val="32"/>
          <w:szCs w:val="32"/>
          <w:lang w:val="en-US" w:eastAsia="zh-CN"/>
        </w:rPr>
        <w:t>原因是：新增设备、新增科室、新增中医药专项、医疗支出上涨。</w:t>
      </w:r>
    </w:p>
    <w:p w14:paraId="33C2B66B">
      <w:pPr>
        <w:numPr>
          <w:ilvl w:val="0"/>
          <w:numId w:val="2"/>
        </w:numPr>
        <w:autoSpaceDE w:val="0"/>
        <w:autoSpaceDN w:val="0"/>
        <w:adjustRightInd w:val="0"/>
        <w:spacing w:line="560" w:lineRule="exact"/>
        <w:ind w:left="-207" w:leftChars="0" w:firstLine="600" w:firstLineChars="0"/>
        <w:jc w:val="both"/>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住房保障支出（221类）年初预算为</w:t>
      </w:r>
      <w:r>
        <w:rPr>
          <w:rFonts w:hint="eastAsia" w:ascii="仿宋" w:hAnsi="仿宋" w:eastAsia="仿宋" w:cs="仿宋"/>
          <w:color w:val="auto"/>
          <w:kern w:val="0"/>
          <w:sz w:val="32"/>
          <w:szCs w:val="32"/>
          <w:lang w:val="en-US" w:eastAsia="zh-CN"/>
        </w:rPr>
        <w:t>18.75</w:t>
      </w:r>
      <w:r>
        <w:rPr>
          <w:rFonts w:hint="eastAsia" w:ascii="仿宋" w:hAnsi="仿宋" w:eastAsia="仿宋" w:cs="仿宋"/>
          <w:color w:val="auto"/>
          <w:kern w:val="0"/>
          <w:sz w:val="32"/>
          <w:szCs w:val="32"/>
        </w:rPr>
        <w:t>万元，支出决算为</w:t>
      </w:r>
      <w:r>
        <w:rPr>
          <w:rFonts w:hint="eastAsia" w:ascii="仿宋" w:hAnsi="仿宋" w:eastAsia="仿宋" w:cs="仿宋"/>
          <w:color w:val="auto"/>
          <w:kern w:val="0"/>
          <w:sz w:val="32"/>
          <w:szCs w:val="32"/>
          <w:lang w:val="en-US" w:eastAsia="zh-CN"/>
        </w:rPr>
        <w:t>18.75</w:t>
      </w:r>
      <w:r>
        <w:rPr>
          <w:rFonts w:hint="eastAsia" w:ascii="仿宋" w:hAnsi="仿宋" w:eastAsia="仿宋" w:cs="仿宋"/>
          <w:color w:val="auto"/>
          <w:kern w:val="0"/>
          <w:sz w:val="32"/>
          <w:szCs w:val="32"/>
        </w:rPr>
        <w:t>万元，完成年初预算的</w:t>
      </w:r>
      <w:r>
        <w:rPr>
          <w:rFonts w:hint="eastAsia" w:ascii="仿宋" w:hAnsi="仿宋" w:eastAsia="仿宋" w:cs="仿宋"/>
          <w:color w:val="auto"/>
          <w:kern w:val="0"/>
          <w:sz w:val="32"/>
          <w:szCs w:val="32"/>
          <w:lang w:val="en-US" w:eastAsia="zh-CN"/>
        </w:rPr>
        <w:t>100</w:t>
      </w:r>
      <w:r>
        <w:rPr>
          <w:rFonts w:hint="eastAsia" w:ascii="仿宋" w:hAnsi="仿宋" w:eastAsia="仿宋" w:cs="仿宋"/>
          <w:color w:val="auto"/>
          <w:kern w:val="0"/>
          <w:sz w:val="32"/>
          <w:szCs w:val="32"/>
        </w:rPr>
        <w:t>%。</w:t>
      </w:r>
    </w:p>
    <w:p w14:paraId="328CA05A">
      <w:pPr>
        <w:numPr>
          <w:ilvl w:val="0"/>
          <w:numId w:val="2"/>
        </w:numPr>
        <w:autoSpaceDE w:val="0"/>
        <w:autoSpaceDN w:val="0"/>
        <w:adjustRightInd w:val="0"/>
        <w:spacing w:line="560" w:lineRule="exact"/>
        <w:ind w:left="-207" w:leftChars="0" w:firstLine="600" w:firstLineChars="0"/>
        <w:jc w:val="both"/>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其他支出</w:t>
      </w:r>
      <w:r>
        <w:rPr>
          <w:rFonts w:hint="eastAsia" w:ascii="仿宋" w:hAnsi="仿宋" w:eastAsia="仿宋" w:cs="仿宋"/>
          <w:color w:val="auto"/>
          <w:kern w:val="0"/>
          <w:sz w:val="32"/>
          <w:szCs w:val="32"/>
        </w:rPr>
        <w:t>年初预算为</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万元，支出决算为</w:t>
      </w:r>
      <w:r>
        <w:rPr>
          <w:rFonts w:hint="eastAsia" w:ascii="仿宋" w:hAnsi="仿宋" w:eastAsia="仿宋" w:cs="仿宋"/>
          <w:color w:val="auto"/>
          <w:kern w:val="0"/>
          <w:sz w:val="32"/>
          <w:szCs w:val="32"/>
          <w:lang w:val="en-US" w:eastAsia="zh-CN"/>
        </w:rPr>
        <w:t>14.67</w:t>
      </w:r>
      <w:r>
        <w:rPr>
          <w:rFonts w:hint="eastAsia" w:ascii="仿宋" w:hAnsi="仿宋" w:eastAsia="仿宋" w:cs="仿宋"/>
          <w:color w:val="auto"/>
          <w:kern w:val="0"/>
          <w:sz w:val="32"/>
          <w:szCs w:val="32"/>
        </w:rPr>
        <w:t>万元，完成年初预算的</w:t>
      </w:r>
      <w:r>
        <w:rPr>
          <w:rFonts w:hint="eastAsia" w:ascii="仿宋" w:hAnsi="仿宋" w:eastAsia="仿宋" w:cs="仿宋"/>
          <w:color w:val="auto"/>
          <w:kern w:val="0"/>
          <w:sz w:val="32"/>
          <w:szCs w:val="32"/>
          <w:lang w:val="en-US" w:eastAsia="zh-CN"/>
        </w:rPr>
        <w:t>100</w:t>
      </w:r>
      <w:r>
        <w:rPr>
          <w:rFonts w:hint="eastAsia" w:ascii="仿宋" w:hAnsi="仿宋" w:eastAsia="仿宋" w:cs="仿宋"/>
          <w:color w:val="auto"/>
          <w:kern w:val="0"/>
          <w:sz w:val="32"/>
          <w:szCs w:val="32"/>
        </w:rPr>
        <w:t>%。预决算</w:t>
      </w:r>
      <w:r>
        <w:rPr>
          <w:rFonts w:hint="eastAsia" w:ascii="仿宋" w:hAnsi="仿宋" w:eastAsia="仿宋" w:cs="仿宋"/>
          <w:color w:val="auto"/>
          <w:kern w:val="0"/>
          <w:sz w:val="32"/>
          <w:szCs w:val="32"/>
          <w:lang w:val="en-US" w:eastAsia="zh-CN"/>
        </w:rPr>
        <w:t>存有</w:t>
      </w:r>
      <w:r>
        <w:rPr>
          <w:rFonts w:hint="eastAsia" w:ascii="仿宋" w:hAnsi="仿宋" w:eastAsia="仿宋" w:cs="仿宋"/>
          <w:color w:val="auto"/>
          <w:kern w:val="0"/>
          <w:sz w:val="32"/>
          <w:szCs w:val="32"/>
        </w:rPr>
        <w:t>差异</w:t>
      </w:r>
      <w:r>
        <w:rPr>
          <w:rFonts w:hint="eastAsia" w:ascii="仿宋" w:hAnsi="仿宋" w:eastAsia="仿宋" w:cs="仿宋"/>
          <w:color w:val="auto"/>
          <w:kern w:val="0"/>
          <w:sz w:val="32"/>
          <w:szCs w:val="32"/>
          <w:lang w:val="en-US" w:eastAsia="zh-CN"/>
        </w:rPr>
        <w:t>原因是：业务扩增，支出随之增加。</w:t>
      </w:r>
    </w:p>
    <w:p w14:paraId="7E210585">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年度一般公共预算财政拨款基本支出决算情况说明</w:t>
      </w:r>
    </w:p>
    <w:p w14:paraId="420BEB40">
      <w:pPr>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龙岩乡卫生院2023年度一般公共预算财政拨款基本支出251.72万元，其中：人员经费支出221.91万元，公用经费支出29.80万元，支出具体情况如下：</w:t>
      </w:r>
    </w:p>
    <w:p w14:paraId="3CF3EE90">
      <w:pPr>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（一）工资福利支出207.75万元，完成年初预算的101.27%，主要原因是：人员变动，养老基数、公积金基数上调。</w:t>
      </w:r>
    </w:p>
    <w:p w14:paraId="36C6614C">
      <w:pPr>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支出具体情况如下：30101基本工资85.15万元，30102津贴补贴0.00万元，30103奖金0.00万元，30106伙食补助费0.00万元，30107绩效工资57.44万元，30108机关事业单位基本养老保险缴费23.60万元，30110职工基本医疗保险缴费9.36万元，30111公务员医疗补助缴费0.00万元，30112其他社会保障缴费13.45万元，30113住房公积金18.75万元，30199其他工资福利支出0.00万元。</w:t>
      </w:r>
    </w:p>
    <w:p w14:paraId="256725E7">
      <w:pPr>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bCs/>
          <w:kern w:val="0"/>
          <w:sz w:val="32"/>
          <w:szCs w:val="32"/>
        </w:rPr>
        <w:t>（二）</w:t>
      </w:r>
      <w:r>
        <w:rPr>
          <w:rFonts w:hint="eastAsia" w:ascii="仿宋" w:hAnsi="仿宋" w:eastAsia="仿宋" w:cs="仿宋"/>
          <w:color w:val="auto"/>
          <w:kern w:val="0"/>
          <w:sz w:val="32"/>
          <w:szCs w:val="32"/>
          <w:lang w:val="en-US" w:eastAsia="zh-CN"/>
        </w:rPr>
        <w:t>商品和服务支出29.80万元，完成年初预算的1042.96%，主要原因是：增加了劳务费。</w:t>
      </w:r>
    </w:p>
    <w:p w14:paraId="6FC3CF3A">
      <w:pPr>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支出具体情况如下：30201办公费0.00万元，30207邮电费0.00万元，30211差旅费0.00万元，30215会议费0.00万元，30216培训费0.00万元，30226劳务费26.94万元，30228工会经费2.86万元，30299其他商品和服务支出0.00万元。</w:t>
      </w:r>
    </w:p>
    <w:p w14:paraId="37A9D6FA">
      <w:pPr>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bCs/>
          <w:kern w:val="0"/>
          <w:sz w:val="32"/>
          <w:szCs w:val="32"/>
        </w:rPr>
        <w:t>（</w:t>
      </w:r>
      <w:r>
        <w:rPr>
          <w:rFonts w:hint="eastAsia" w:ascii="仿宋" w:hAnsi="仿宋" w:eastAsia="仿宋" w:cs="仿宋"/>
          <w:bCs/>
          <w:kern w:val="0"/>
          <w:sz w:val="32"/>
          <w:szCs w:val="32"/>
          <w:lang w:val="en-US" w:eastAsia="zh-CN"/>
        </w:rPr>
        <w:t>三</w:t>
      </w:r>
      <w:r>
        <w:rPr>
          <w:rFonts w:hint="eastAsia" w:ascii="仿宋" w:hAnsi="仿宋" w:eastAsia="仿宋" w:cs="仿宋"/>
          <w:bCs/>
          <w:kern w:val="0"/>
          <w:sz w:val="32"/>
          <w:szCs w:val="32"/>
        </w:rPr>
        <w:t>）</w:t>
      </w:r>
      <w:r>
        <w:rPr>
          <w:rFonts w:hint="eastAsia" w:ascii="仿宋" w:hAnsi="仿宋" w:eastAsia="仿宋" w:cs="仿宋"/>
          <w:color w:val="auto"/>
          <w:kern w:val="0"/>
          <w:sz w:val="32"/>
          <w:szCs w:val="32"/>
          <w:lang w:val="en-US" w:eastAsia="zh-CN"/>
        </w:rPr>
        <w:t>对个人和家庭的补助14.16万元，完成年初预算的52.10%，主要原因是：人员变动。</w:t>
      </w:r>
    </w:p>
    <w:p w14:paraId="5C7AAE72">
      <w:pPr>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支出具体情况如下：30301离休费0.00万元，30302退休费0.00万元，30304抚恤金7.97万元，30305生活补助4.08万元，30399其他对个人和家庭的补助2.12万元。</w:t>
      </w:r>
    </w:p>
    <w:p w14:paraId="37413EF3">
      <w:pPr>
        <w:ind w:firstLine="640" w:firstLineChars="200"/>
        <w:jc w:val="left"/>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rPr>
        <w:t>（</w:t>
      </w:r>
      <w:r>
        <w:rPr>
          <w:rFonts w:hint="eastAsia" w:ascii="仿宋" w:hAnsi="仿宋" w:eastAsia="仿宋" w:cs="仿宋"/>
          <w:bCs/>
          <w:kern w:val="0"/>
          <w:sz w:val="32"/>
          <w:szCs w:val="32"/>
          <w:lang w:val="en-US" w:eastAsia="zh-CN"/>
        </w:rPr>
        <w:t>四</w:t>
      </w:r>
      <w:r>
        <w:rPr>
          <w:rFonts w:hint="eastAsia" w:ascii="仿宋" w:hAnsi="仿宋" w:eastAsia="仿宋" w:cs="仿宋"/>
          <w:bCs/>
          <w:kern w:val="0"/>
          <w:sz w:val="32"/>
          <w:szCs w:val="32"/>
        </w:rPr>
        <w:t>）</w:t>
      </w:r>
      <w:r>
        <w:rPr>
          <w:rFonts w:hint="eastAsia" w:ascii="仿宋" w:hAnsi="仿宋" w:eastAsia="仿宋" w:cs="仿宋"/>
          <w:color w:val="auto"/>
          <w:kern w:val="0"/>
          <w:sz w:val="32"/>
          <w:szCs w:val="32"/>
          <w:lang w:val="en-US" w:eastAsia="zh-CN"/>
        </w:rPr>
        <w:t>债务利息及费用支出0.00万元，完成年初预算的0%，主要原因是：本单位2022年无债务利息及费用支出。</w:t>
      </w:r>
    </w:p>
    <w:p w14:paraId="34F175EA">
      <w:pPr>
        <w:ind w:firstLine="640" w:firstLineChars="200"/>
        <w:jc w:val="left"/>
        <w:rPr>
          <w:rFonts w:hint="eastAsia" w:ascii="仿宋" w:hAnsi="仿宋" w:eastAsia="仿宋" w:cs="仿宋"/>
          <w:bCs/>
          <w:kern w:val="0"/>
          <w:sz w:val="32"/>
          <w:szCs w:val="32"/>
          <w:lang w:eastAsia="zh-CN"/>
        </w:rPr>
      </w:pPr>
      <w:r>
        <w:rPr>
          <w:rFonts w:hint="eastAsia" w:ascii="仿宋" w:hAnsi="仿宋" w:eastAsia="仿宋" w:cs="仿宋"/>
          <w:bCs/>
          <w:kern w:val="0"/>
          <w:sz w:val="32"/>
          <w:szCs w:val="32"/>
        </w:rPr>
        <w:t>（</w:t>
      </w:r>
      <w:r>
        <w:rPr>
          <w:rFonts w:hint="eastAsia" w:ascii="仿宋" w:hAnsi="仿宋" w:eastAsia="仿宋" w:cs="仿宋"/>
          <w:bCs/>
          <w:kern w:val="0"/>
          <w:sz w:val="32"/>
          <w:szCs w:val="32"/>
          <w:lang w:val="en-US" w:eastAsia="zh-CN"/>
        </w:rPr>
        <w:t>五</w:t>
      </w:r>
      <w:r>
        <w:rPr>
          <w:rFonts w:hint="eastAsia" w:ascii="仿宋" w:hAnsi="仿宋" w:eastAsia="仿宋" w:cs="仿宋"/>
          <w:bCs/>
          <w:kern w:val="0"/>
          <w:sz w:val="32"/>
          <w:szCs w:val="32"/>
        </w:rPr>
        <w:t>）资本性支出0.00万元，完成年初预算的0%，</w:t>
      </w:r>
      <w:r>
        <w:rPr>
          <w:rFonts w:hint="eastAsia" w:ascii="仿宋" w:hAnsi="仿宋" w:eastAsia="仿宋" w:cs="仿宋"/>
          <w:bCs/>
          <w:kern w:val="0"/>
          <w:sz w:val="32"/>
          <w:szCs w:val="32"/>
          <w:lang w:val="en-US" w:eastAsia="zh-CN"/>
        </w:rPr>
        <w:t>主要原因是：本单位2022年无</w:t>
      </w:r>
      <w:r>
        <w:rPr>
          <w:rFonts w:hint="eastAsia" w:ascii="仿宋" w:hAnsi="仿宋" w:eastAsia="仿宋" w:cs="仿宋"/>
          <w:bCs/>
          <w:kern w:val="0"/>
          <w:sz w:val="32"/>
          <w:szCs w:val="32"/>
        </w:rPr>
        <w:t>资本性支出</w:t>
      </w:r>
      <w:r>
        <w:rPr>
          <w:rFonts w:hint="eastAsia" w:ascii="仿宋" w:hAnsi="仿宋" w:eastAsia="仿宋" w:cs="仿宋"/>
          <w:bCs/>
          <w:kern w:val="0"/>
          <w:sz w:val="32"/>
          <w:szCs w:val="32"/>
          <w:lang w:eastAsia="zh-CN"/>
        </w:rPr>
        <w:t>。</w:t>
      </w:r>
    </w:p>
    <w:p w14:paraId="6883AB07">
      <w:pPr>
        <w:ind w:firstLine="640" w:firstLineChars="200"/>
        <w:jc w:val="left"/>
        <w:rPr>
          <w:rFonts w:hint="eastAsia" w:ascii="仿宋" w:hAnsi="仿宋" w:eastAsia="仿宋" w:cs="仿宋"/>
          <w:lang w:val="en-US" w:eastAsia="zh-CN"/>
        </w:rPr>
      </w:pPr>
      <w:r>
        <w:rPr>
          <w:rFonts w:hint="eastAsia" w:ascii="仿宋" w:hAnsi="仿宋" w:eastAsia="仿宋" w:cs="仿宋"/>
          <w:color w:val="auto"/>
          <w:kern w:val="0"/>
          <w:sz w:val="32"/>
          <w:szCs w:val="32"/>
          <w:lang w:val="en-US" w:eastAsia="zh-CN"/>
        </w:rPr>
        <w:t>（六）其他支出0.00万元，完成年初预算的0%，主要原因是：本单位2022年无其他支出。</w:t>
      </w:r>
    </w:p>
    <w:p w14:paraId="5D47CC1A">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14:paraId="76A30272">
      <w:pPr>
        <w:ind w:firstLine="640" w:firstLineChars="200"/>
        <w:jc w:val="left"/>
        <w:rPr>
          <w:rFonts w:ascii="仿宋" w:hAnsi="仿宋" w:eastAsia="仿宋" w:cs="仿宋"/>
          <w:sz w:val="32"/>
          <w:szCs w:val="32"/>
          <w:highlight w:val="none"/>
        </w:rPr>
      </w:pPr>
      <w:r>
        <w:rPr>
          <w:rFonts w:hint="eastAsia" w:ascii="仿宋_GB2312" w:hAnsi="黑体" w:eastAsia="仿宋_GB2312"/>
          <w:bCs/>
          <w:color w:val="000000"/>
          <w:sz w:val="32"/>
          <w:szCs w:val="32"/>
          <w:u w:val="none"/>
        </w:rPr>
        <w:t xml:space="preserve"> </w:t>
      </w:r>
      <w:r>
        <w:rPr>
          <w:rFonts w:hint="eastAsia" w:ascii="仿宋" w:hAnsi="仿宋" w:eastAsia="仿宋" w:cs="仿宋"/>
          <w:sz w:val="32"/>
          <w:szCs w:val="32"/>
          <w:highlight w:val="none"/>
          <w:lang w:eastAsia="zh-CN"/>
        </w:rPr>
        <w:t>龙岩乡卫生院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04B08B91">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eastAsia="zh-CN"/>
        </w:rPr>
        <w:t>龙岩乡卫生院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w:t>
      </w:r>
      <w:r>
        <w:rPr>
          <w:rFonts w:hint="eastAsia" w:ascii="仿宋" w:hAnsi="仿宋" w:eastAsia="仿宋" w:cs="仿宋"/>
          <w:sz w:val="32"/>
          <w:szCs w:val="32"/>
          <w:highlight w:val="none"/>
        </w:rPr>
        <w:t>0</w:t>
      </w:r>
      <w:r>
        <w:rPr>
          <w:rFonts w:hint="eastAsia" w:ascii="仿宋" w:hAnsi="仿宋" w:eastAsia="仿宋" w:cs="仿宋"/>
          <w:color w:val="auto"/>
          <w:sz w:val="32"/>
          <w:szCs w:val="32"/>
          <w:highlight w:val="none"/>
        </w:rPr>
        <w:t>0万元，支出决算为0.00万元，完成年初预算的0%。</w:t>
      </w:r>
    </w:p>
    <w:p w14:paraId="122BEECB">
      <w:pPr>
        <w:ind w:firstLine="640" w:firstLineChars="200"/>
        <w:jc w:val="left"/>
        <w:rPr>
          <w:rFonts w:hint="eastAsia" w:ascii="仿宋" w:hAnsi="仿宋" w:eastAsia="仿宋" w:cs="仿宋"/>
          <w:kern w:val="0"/>
          <w:sz w:val="32"/>
          <w:szCs w:val="32"/>
        </w:rPr>
      </w:pPr>
      <w:r>
        <w:rPr>
          <w:rFonts w:hint="eastAsia" w:ascii="仿宋" w:hAnsi="仿宋" w:eastAsia="仿宋" w:cs="仿宋"/>
          <w:color w:val="auto"/>
          <w:sz w:val="32"/>
          <w:szCs w:val="32"/>
          <w:lang w:eastAsia="zh-CN"/>
        </w:rPr>
        <w:t>龙岩乡卫生院</w:t>
      </w:r>
      <w:r>
        <w:rPr>
          <w:rFonts w:hint="eastAsia" w:ascii="仿宋" w:hAnsi="仿宋" w:eastAsia="仿宋" w:cs="仿宋"/>
          <w:color w:val="auto"/>
          <w:sz w:val="32"/>
          <w:u w:color="auto"/>
        </w:rPr>
        <w:t>没有政府性基金收入，也没有政府性基金收入安排的支出</w:t>
      </w:r>
      <w:r>
        <w:rPr>
          <w:rFonts w:hint="eastAsia" w:ascii="仿宋" w:hAnsi="仿宋" w:eastAsia="仿宋" w:cs="仿宋"/>
          <w:color w:val="auto"/>
          <w:sz w:val="32"/>
          <w:u w:color="auto"/>
          <w:lang w:eastAsia="zh-CN"/>
        </w:rPr>
        <w:t>。</w:t>
      </w:r>
    </w:p>
    <w:p w14:paraId="1E8229FE">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14:paraId="79C938A0">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龙岩乡卫生院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1872847B">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eastAsia="zh-CN"/>
        </w:rPr>
        <w:t>龙岩乡卫生院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w:t>
      </w:r>
      <w:r>
        <w:rPr>
          <w:rFonts w:hint="eastAsia" w:ascii="仿宋" w:hAnsi="仿宋" w:eastAsia="仿宋" w:cs="仿宋"/>
          <w:color w:val="auto"/>
          <w:sz w:val="32"/>
          <w:szCs w:val="32"/>
          <w:highlight w:val="none"/>
        </w:rPr>
        <w:t>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14:paraId="6AF0DE95">
      <w:pPr>
        <w:ind w:firstLine="640" w:firstLineChars="200"/>
        <w:jc w:val="left"/>
        <w:rPr>
          <w:rFonts w:hint="eastAsia" w:ascii="仿宋" w:hAnsi="仿宋" w:eastAsia="仿宋" w:cs="仿宋"/>
          <w:color w:val="auto"/>
          <w:sz w:val="32"/>
          <w:szCs w:val="32"/>
          <w:highlight w:val="none"/>
        </w:rPr>
      </w:pPr>
      <w:bookmarkStart w:id="2" w:name="PO_part3A5B1C1DiffReason1"/>
      <w:r>
        <w:rPr>
          <w:rFonts w:hint="eastAsia" w:ascii="仿宋" w:hAnsi="仿宋" w:eastAsia="仿宋" w:cs="仿宋"/>
          <w:color w:val="auto"/>
          <w:sz w:val="32"/>
          <w:szCs w:val="32"/>
          <w:lang w:eastAsia="zh-CN"/>
        </w:rPr>
        <w:t>龙岩乡卫生院</w:t>
      </w:r>
      <w:r>
        <w:rPr>
          <w:rFonts w:hint="eastAsia" w:ascii="仿宋" w:hAnsi="仿宋" w:eastAsia="仿宋" w:cs="仿宋"/>
          <w:color w:val="auto"/>
          <w:sz w:val="32"/>
          <w:u w:color="auto"/>
        </w:rPr>
        <w:t>没有国有资本经营预算收入，也没有国有资本经营预算收入</w:t>
      </w:r>
      <w:r>
        <w:rPr>
          <w:rFonts w:hint="eastAsia" w:ascii="仿宋" w:hAnsi="仿宋" w:eastAsia="仿宋" w:cs="仿宋"/>
          <w:color w:val="auto"/>
          <w:sz w:val="32"/>
          <w:szCs w:val="32"/>
        </w:rPr>
        <w:t>安排的支出</w:t>
      </w:r>
      <w:bookmarkEnd w:id="2"/>
      <w:r>
        <w:rPr>
          <w:rFonts w:hint="eastAsia" w:ascii="仿宋" w:hAnsi="仿宋" w:eastAsia="仿宋" w:cs="仿宋"/>
          <w:color w:val="auto"/>
          <w:sz w:val="32"/>
          <w:szCs w:val="32"/>
          <w:lang w:eastAsia="zh-CN"/>
        </w:rPr>
        <w:t>。</w:t>
      </w:r>
    </w:p>
    <w:p w14:paraId="1B9B999A">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14:paraId="0AC27C69">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年度财政拨款安排的“三公”经费支出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2023年度本单位无</w:t>
      </w:r>
      <w:r>
        <w:rPr>
          <w:rFonts w:hint="eastAsia" w:ascii="仿宋" w:hAnsi="仿宋" w:eastAsia="仿宋" w:cs="仿宋"/>
          <w:color w:val="auto"/>
          <w:sz w:val="32"/>
          <w:szCs w:val="32"/>
          <w:highlight w:val="none"/>
        </w:rPr>
        <w:t>一</w:t>
      </w:r>
      <w:r>
        <w:rPr>
          <w:rFonts w:hint="eastAsia" w:ascii="仿宋" w:hAnsi="仿宋" w:eastAsia="仿宋" w:cs="仿宋"/>
          <w:sz w:val="32"/>
          <w:szCs w:val="32"/>
          <w:highlight w:val="none"/>
        </w:rPr>
        <w:t>般公共预算财政拨款安排的“三公”经费支出</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14:paraId="1C72259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78C4A539">
      <w:pPr>
        <w:numPr>
          <w:ilvl w:val="0"/>
          <w:numId w:val="3"/>
        </w:numPr>
        <w:ind w:firstLine="640" w:firstLineChars="200"/>
        <w:jc w:val="left"/>
        <w:rPr>
          <w:rFonts w:hint="eastAsia" w:ascii="仿宋_GB2312" w:hAnsi="Times New Roman" w:eastAsia="仿宋_GB2312" w:cs="Times New Roman"/>
          <w:color w:val="auto"/>
          <w:sz w:val="32"/>
          <w:szCs w:val="32"/>
        </w:rPr>
      </w:pPr>
      <w:r>
        <w:rPr>
          <w:rFonts w:hint="eastAsia" w:ascii="仿宋" w:hAnsi="仿宋" w:eastAsia="仿宋" w:cs="仿宋"/>
          <w:color w:val="auto"/>
          <w:sz w:val="32"/>
          <w:szCs w:val="32"/>
          <w:highlight w:val="none"/>
        </w:rPr>
        <w:t>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w:t>
      </w:r>
      <w:r>
        <w:rPr>
          <w:rFonts w:hint="eastAsia" w:ascii="仿宋" w:hAnsi="仿宋" w:eastAsia="仿宋" w:cs="仿宋"/>
          <w:color w:val="auto"/>
          <w:sz w:val="32"/>
          <w:szCs w:val="32"/>
          <w:highlight w:val="none"/>
        </w:rPr>
        <w:t>加0.00 万元。</w:t>
      </w:r>
      <w:r>
        <w:rPr>
          <w:rFonts w:hint="eastAsia" w:ascii="仿宋" w:hAnsi="仿宋" w:eastAsia="仿宋" w:cs="仿宋"/>
          <w:color w:val="auto"/>
          <w:sz w:val="32"/>
          <w:szCs w:val="32"/>
          <w:highlight w:val="none"/>
          <w:lang w:val="en-US" w:eastAsia="zh-CN"/>
        </w:rPr>
        <w:t>原因是：</w:t>
      </w:r>
      <w:r>
        <w:rPr>
          <w:rFonts w:hint="eastAsia" w:ascii="仿宋" w:hAnsi="仿宋" w:eastAsia="仿宋" w:cs="仿宋"/>
          <w:color w:val="auto"/>
          <w:sz w:val="32"/>
          <w:szCs w:val="32"/>
          <w:lang w:val="en-US" w:eastAsia="zh-CN"/>
        </w:rPr>
        <w:t>本单位2023年度无</w:t>
      </w:r>
      <w:r>
        <w:rPr>
          <w:rFonts w:hint="eastAsia" w:ascii="仿宋" w:hAnsi="仿宋" w:eastAsia="仿宋" w:cs="仿宋"/>
          <w:color w:val="auto"/>
          <w:sz w:val="32"/>
          <w:szCs w:val="32"/>
          <w:highlight w:val="none"/>
        </w:rPr>
        <w:t>因公出国（境）费支出</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全年使用财政拨款安排</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0</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（局、办、镇）机关、</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0</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个所属单位出国团组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0</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个，参加其他单位组织的出国团组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0</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个</w:t>
      </w:r>
      <w:r>
        <w:rPr>
          <w:rFonts w:hint="eastAsia" w:ascii="仿宋" w:hAnsi="仿宋" w:eastAsia="仿宋" w:cs="仿宋"/>
          <w:color w:val="auto"/>
          <w:sz w:val="32"/>
          <w:szCs w:val="32"/>
          <w:highlight w:val="none"/>
        </w:rPr>
        <w:t>，全年因公出国（境）团组共计0个，累计0人次。</w:t>
      </w:r>
      <w:r>
        <w:rPr>
          <w:rFonts w:hint="eastAsia" w:ascii="仿宋" w:hAnsi="仿宋" w:eastAsia="仿宋" w:cs="仿宋"/>
          <w:color w:val="auto"/>
          <w:sz w:val="32"/>
          <w:szCs w:val="32"/>
        </w:rPr>
        <w:t>开支内容包括</w:t>
      </w:r>
      <w:r>
        <w:rPr>
          <w:rFonts w:hint="eastAsia" w:ascii="仿宋" w:hAnsi="仿宋" w:eastAsia="仿宋" w:cs="仿宋"/>
          <w:color w:val="auto"/>
          <w:sz w:val="32"/>
          <w:szCs w:val="32"/>
          <w:lang w:eastAsia="zh-CN"/>
        </w:rPr>
        <w:t>：</w:t>
      </w:r>
    </w:p>
    <w:p w14:paraId="20BE805F">
      <w:pPr>
        <w:numPr>
          <w:ilvl w:val="0"/>
          <w:numId w:val="0"/>
        </w:numPr>
        <w:ind w:firstLine="320" w:firstLineChars="100"/>
        <w:jc w:val="left"/>
        <w:rPr>
          <w:rFonts w:hint="eastAsia" w:ascii="仿宋" w:hAnsi="仿宋" w:eastAsia="仿宋" w:cs="仿宋"/>
          <w:color w:val="auto"/>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w:t>
      </w:r>
      <w:r>
        <w:rPr>
          <w:rFonts w:hint="eastAsia" w:ascii="仿宋" w:hAnsi="仿宋" w:eastAsia="仿宋" w:cs="仿宋"/>
          <w:color w:val="auto"/>
          <w:sz w:val="32"/>
          <w:szCs w:val="32"/>
          <w:highlight w:val="none"/>
        </w:rPr>
        <w:t>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w:t>
      </w:r>
      <w:r>
        <w:rPr>
          <w:rFonts w:hint="eastAsia" w:ascii="仿宋" w:hAnsi="仿宋" w:eastAsia="仿宋" w:cs="仿宋"/>
          <w:color w:val="auto"/>
          <w:sz w:val="32"/>
          <w:szCs w:val="32"/>
          <w:lang w:val="en-US" w:eastAsia="zh-CN"/>
        </w:rPr>
        <w:t>2023年度</w:t>
      </w:r>
      <w:r>
        <w:rPr>
          <w:rFonts w:hint="eastAsia" w:ascii="仿宋" w:hAnsi="仿宋" w:eastAsia="仿宋" w:cs="仿宋"/>
          <w:color w:val="auto"/>
          <w:sz w:val="32"/>
          <w:szCs w:val="32"/>
        </w:rPr>
        <w:t>无公务用车购置</w:t>
      </w:r>
      <w:r>
        <w:rPr>
          <w:rFonts w:hint="eastAsia" w:ascii="仿宋" w:hAnsi="仿宋" w:eastAsia="仿宋" w:cs="仿宋"/>
          <w:color w:val="auto"/>
          <w:sz w:val="32"/>
          <w:szCs w:val="32"/>
          <w:lang w:eastAsia="zh-CN"/>
        </w:rPr>
        <w:t>。</w:t>
      </w:r>
      <w:bookmarkEnd w:id="3"/>
    </w:p>
    <w:p w14:paraId="0A53B2DB">
      <w:pPr>
        <w:numPr>
          <w:ilvl w:val="0"/>
          <w:numId w:val="0"/>
        </w:numPr>
        <w:ind w:firstLine="320" w:firstLineChars="1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本部门</w:t>
      </w:r>
      <w:r>
        <w:rPr>
          <w:rFonts w:hint="eastAsia" w:ascii="仿宋" w:hAnsi="仿宋" w:eastAsia="仿宋" w:cs="仿宋"/>
          <w:color w:val="auto"/>
          <w:sz w:val="32"/>
          <w:szCs w:val="32"/>
          <w:lang w:val="en-US" w:eastAsia="zh-CN"/>
        </w:rPr>
        <w:t>2023年度</w:t>
      </w:r>
      <w:r>
        <w:rPr>
          <w:rFonts w:hint="eastAsia" w:ascii="仿宋" w:hAnsi="仿宋" w:eastAsia="仿宋" w:cs="仿宋"/>
          <w:color w:val="auto"/>
          <w:sz w:val="32"/>
          <w:szCs w:val="32"/>
        </w:rPr>
        <w:t>无公务用车购置</w:t>
      </w:r>
      <w:r>
        <w:rPr>
          <w:rFonts w:hint="eastAsia" w:ascii="仿宋" w:hAnsi="仿宋" w:eastAsia="仿宋" w:cs="仿宋"/>
          <w:color w:val="auto"/>
          <w:sz w:val="32"/>
          <w:szCs w:val="32"/>
          <w:lang w:eastAsia="zh-CN"/>
        </w:rPr>
        <w:t>。</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u w:color="auto"/>
          <w:lang w:eastAsia="zh-CN"/>
        </w:rPr>
        <w:t>龙岩</w:t>
      </w:r>
      <w:r>
        <w:rPr>
          <w:rFonts w:hint="eastAsia" w:ascii="仿宋" w:hAnsi="仿宋" w:eastAsia="仿宋" w:cs="仿宋"/>
          <w:color w:val="auto"/>
          <w:sz w:val="32"/>
          <w:u w:color="auto"/>
          <w:lang w:eastAsia="zh-CN"/>
        </w:rPr>
        <w:t>乡卫生院</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58CE5951">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rPr>
      </w:pPr>
      <w:r>
        <w:rPr>
          <w:rFonts w:hint="eastAsia" w:ascii="仿宋" w:hAnsi="仿宋" w:eastAsia="仿宋" w:cs="仿宋"/>
          <w:sz w:val="32"/>
          <w:szCs w:val="32"/>
          <w:highlight w:val="none"/>
        </w:rPr>
        <w:t>（三）公务接待</w:t>
      </w:r>
      <w:r>
        <w:rPr>
          <w:rFonts w:hint="eastAsia" w:ascii="仿宋" w:hAnsi="仿宋" w:eastAsia="仿宋" w:cs="仿宋"/>
          <w:color w:val="auto"/>
          <w:sz w:val="32"/>
          <w:szCs w:val="32"/>
          <w:highlight w:val="none"/>
        </w:rPr>
        <w:t>费支出</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主要原因是：本单位2023年度无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国内公</w:t>
      </w:r>
      <w:r>
        <w:rPr>
          <w:rFonts w:hint="eastAsia" w:ascii="仿宋" w:hAnsi="仿宋" w:eastAsia="仿宋" w:cs="仿宋"/>
          <w:color w:val="000000" w:themeColor="text1"/>
          <w:sz w:val="32"/>
          <w:szCs w:val="32"/>
          <w:highlight w:val="none"/>
          <w14:textFill>
            <w14:solidFill>
              <w14:schemeClr w14:val="tx1"/>
            </w14:solidFill>
          </w14:textFill>
        </w:rPr>
        <w:t>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14:paraId="37AB5B41">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675C6287">
      <w:pPr>
        <w:autoSpaceDE w:val="0"/>
        <w:autoSpaceDN w:val="0"/>
        <w:adjustRightInd w:val="0"/>
        <w:spacing w:line="560" w:lineRule="exact"/>
        <w:jc w:val="both"/>
        <w:rPr>
          <w:rFonts w:hint="eastAsia" w:ascii="仿宋" w:hAnsi="仿宋" w:eastAsia="仿宋" w:cs="仿宋"/>
          <w:kern w:val="0"/>
          <w:sz w:val="32"/>
          <w:szCs w:val="32"/>
        </w:rPr>
      </w:pPr>
      <w:r>
        <w:rPr>
          <w:rFonts w:hint="eastAsia" w:ascii="仿宋" w:hAnsi="仿宋" w:eastAsia="仿宋" w:cs="仿宋"/>
          <w:kern w:val="0"/>
          <w:sz w:val="32"/>
          <w:szCs w:val="32"/>
        </w:rPr>
        <w:t>（一）机关运行经费支出情况说明。</w:t>
      </w:r>
    </w:p>
    <w:p w14:paraId="7C91A09E">
      <w:pPr>
        <w:autoSpaceDE w:val="0"/>
        <w:autoSpaceDN w:val="0"/>
        <w:adjustRightInd w:val="0"/>
        <w:spacing w:line="560" w:lineRule="exact"/>
        <w:ind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本部门202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年度机关运行经费支出</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rPr>
        <w:t>万元（与部门决算中行政单位和参照公务员法管理事业单位财政拨款基本支出中公用经费之和一致），比年初预算数增加</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rPr>
        <w:t xml:space="preserve"> %，比上年决算数增加</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rPr>
        <w:t>元，增长</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rPr>
        <w:t>%。主要原因是：本部门无机关运行经费支出</w:t>
      </w:r>
      <w:r>
        <w:rPr>
          <w:rFonts w:hint="eastAsia" w:ascii="仿宋" w:hAnsi="仿宋" w:eastAsia="仿宋" w:cs="仿宋"/>
          <w:kern w:val="0"/>
          <w:sz w:val="32"/>
          <w:szCs w:val="32"/>
          <w:lang w:eastAsia="zh-CN"/>
        </w:rPr>
        <w:t>。</w:t>
      </w:r>
    </w:p>
    <w:p w14:paraId="00D2BD48">
      <w:pPr>
        <w:keepNext w:val="0"/>
        <w:keepLines w:val="0"/>
        <w:pageBreakBefore w:val="0"/>
        <w:widowControl/>
        <w:numPr>
          <w:ilvl w:val="0"/>
          <w:numId w:val="1"/>
        </w:numPr>
        <w:kinsoku/>
        <w:wordWrap/>
        <w:overflowPunct/>
        <w:topLinePunct w:val="0"/>
        <w:bidi w:val="0"/>
        <w:snapToGrid/>
        <w:spacing w:line="560" w:lineRule="exact"/>
        <w:ind w:left="0" w:leftChars="0" w:firstLine="0" w:firstLineChars="0"/>
        <w:textAlignment w:val="auto"/>
        <w:rPr>
          <w:rFonts w:hint="eastAsia" w:ascii="仿宋" w:hAnsi="仿宋" w:eastAsia="仿宋" w:cs="仿宋"/>
          <w:kern w:val="0"/>
          <w:sz w:val="32"/>
          <w:szCs w:val="32"/>
        </w:rPr>
      </w:pPr>
      <w:r>
        <w:rPr>
          <w:rFonts w:hint="eastAsia" w:ascii="仿宋" w:hAnsi="仿宋" w:eastAsia="仿宋" w:cs="仿宋"/>
          <w:kern w:val="0"/>
          <w:sz w:val="32"/>
          <w:szCs w:val="32"/>
        </w:rPr>
        <w:t>政府采购支出情况说明。</w:t>
      </w:r>
    </w:p>
    <w:p w14:paraId="6A8DF348">
      <w:pPr>
        <w:keepNext w:val="0"/>
        <w:keepLines w:val="0"/>
        <w:pageBreakBefore w:val="0"/>
        <w:widowControl/>
        <w:numPr>
          <w:ilvl w:val="0"/>
          <w:numId w:val="0"/>
        </w:numPr>
        <w:kinsoku/>
        <w:wordWrap/>
        <w:overflowPunct/>
        <w:topLinePunct w:val="0"/>
        <w:bidi w:val="0"/>
        <w:snapToGrid/>
        <w:spacing w:line="560" w:lineRule="exact"/>
        <w:ind w:leftChars="0" w:firstLine="640" w:firstLineChars="200"/>
        <w:textAlignment w:val="auto"/>
        <w:rPr>
          <w:rFonts w:hint="eastAsia" w:ascii="仿宋" w:hAnsi="仿宋" w:eastAsia="仿宋" w:cs="仿宋"/>
          <w:kern w:val="0"/>
          <w:sz w:val="32"/>
          <w:szCs w:val="32"/>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万元、政府采购工程支出0.00万元、政府采购服务支出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万元。授予中小企业合同金额0.00万元，占政府采购支出总额的0.00%，其中：授予小微企业合同金额0.00万元，占授予中小企业合同金额的0%。</w:t>
      </w:r>
      <w:r>
        <w:rPr>
          <w:rFonts w:hint="eastAsia" w:ascii="仿宋" w:hAnsi="仿宋" w:eastAsia="仿宋" w:cs="仿宋"/>
          <w:sz w:val="32"/>
          <w:szCs w:val="32"/>
          <w:highlight w:val="none"/>
          <w:lang w:val="en-US" w:eastAsia="zh-CN"/>
        </w:rPr>
        <w:t>原因是：</w:t>
      </w:r>
      <w:r>
        <w:rPr>
          <w:rFonts w:hint="eastAsia" w:ascii="仿宋" w:hAnsi="仿宋" w:eastAsia="仿宋" w:cs="仿宋"/>
          <w:sz w:val="32"/>
          <w:szCs w:val="32"/>
          <w:highlight w:val="none"/>
        </w:rPr>
        <w:t>本部门无政府采购支出</w:t>
      </w:r>
      <w:r>
        <w:rPr>
          <w:rFonts w:hint="eastAsia" w:ascii="仿宋" w:hAnsi="仿宋" w:eastAsia="仿宋" w:cs="仿宋"/>
          <w:sz w:val="32"/>
          <w:szCs w:val="32"/>
          <w:highlight w:val="none"/>
          <w:lang w:eastAsia="zh-CN"/>
        </w:rPr>
        <w:t>。</w:t>
      </w:r>
    </w:p>
    <w:p w14:paraId="2025352A">
      <w:pPr>
        <w:autoSpaceDE w:val="0"/>
        <w:autoSpaceDN w:val="0"/>
        <w:adjustRightInd w:val="0"/>
        <w:spacing w:line="560" w:lineRule="exact"/>
        <w:jc w:val="both"/>
        <w:rPr>
          <w:rFonts w:hint="eastAsia" w:ascii="仿宋" w:hAnsi="仿宋" w:eastAsia="仿宋" w:cs="仿宋"/>
          <w:kern w:val="0"/>
          <w:sz w:val="32"/>
          <w:szCs w:val="32"/>
        </w:rPr>
      </w:pPr>
      <w:r>
        <w:rPr>
          <w:rFonts w:hint="eastAsia" w:ascii="仿宋" w:hAnsi="仿宋" w:eastAsia="仿宋" w:cs="仿宋"/>
          <w:kern w:val="0"/>
          <w:sz w:val="32"/>
          <w:szCs w:val="32"/>
        </w:rPr>
        <w:t>（三）国有资产占用情况说明。</w:t>
      </w:r>
    </w:p>
    <w:p w14:paraId="7BB2D820">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0辆，其中：副部（省）级领导干部用车0辆、机要通信用车0辆、应急保障用车0辆、执法执勤用车0辆、特种专业技术用车0辆、其他用车0辆；单位价值50万元以上通用设备0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元以上专用设备0台（套）。</w:t>
      </w:r>
    </w:p>
    <w:p w14:paraId="1ECACB80">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14:paraId="1D75CCCF">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aps w:val="0"/>
          <w:color w:val="auto"/>
          <w:kern w:val="0"/>
          <w:sz w:val="32"/>
          <w:szCs w:val="32"/>
          <w:vertAlign w:val="baseline"/>
          <w:lang w:bidi="ar"/>
        </w:rPr>
      </w:pPr>
      <w:r>
        <w:rPr>
          <w:rFonts w:hint="eastAsia" w:ascii="仿宋" w:hAnsi="仿宋" w:eastAsia="仿宋" w:cs="仿宋"/>
          <w:b w:val="0"/>
          <w:bCs w:val="0"/>
          <w:caps w:val="0"/>
          <w:color w:val="auto"/>
          <w:kern w:val="0"/>
          <w:sz w:val="32"/>
          <w:szCs w:val="32"/>
          <w:vertAlign w:val="baseline"/>
          <w:lang w:val="en-US" w:eastAsia="zh-CN" w:bidi="ar"/>
        </w:rPr>
        <w:t>1.整体支出绩效自评结果。</w:t>
      </w:r>
    </w:p>
    <w:p w14:paraId="2D497742">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b w:val="0"/>
          <w:bCs w:val="0"/>
          <w:caps w:val="0"/>
          <w:color w:val="auto"/>
          <w:kern w:val="0"/>
          <w:sz w:val="32"/>
          <w:szCs w:val="32"/>
          <w:vertAlign w:val="baseline"/>
          <w:lang w:val="en-US" w:eastAsia="zh-CN" w:bidi="ar"/>
        </w:rPr>
      </w:pPr>
      <w:r>
        <w:rPr>
          <w:rFonts w:hint="eastAsia" w:ascii="仿宋" w:hAnsi="仿宋" w:eastAsia="仿宋" w:cs="仿宋"/>
          <w:b w:val="0"/>
          <w:bCs w:val="0"/>
          <w:caps w:val="0"/>
          <w:color w:val="auto"/>
          <w:kern w:val="0"/>
          <w:sz w:val="32"/>
          <w:szCs w:val="32"/>
          <w:vertAlign w:val="baseline"/>
          <w:lang w:val="en-US" w:eastAsia="zh-CN" w:bidi="ar"/>
        </w:rPr>
        <w:t>我部门为环江毛南族自治县卫生健康局二层单位，无需开展整体支出绩效评价。</w:t>
      </w:r>
    </w:p>
    <w:p w14:paraId="62BE26A7">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aps w:val="0"/>
          <w:color w:val="auto"/>
          <w:kern w:val="0"/>
          <w:sz w:val="32"/>
          <w:szCs w:val="32"/>
          <w:vertAlign w:val="baseline"/>
          <w:lang w:bidi="ar"/>
        </w:rPr>
      </w:pPr>
      <w:r>
        <w:rPr>
          <w:rFonts w:hint="eastAsia" w:ascii="仿宋" w:hAnsi="仿宋" w:eastAsia="仿宋" w:cs="仿宋"/>
          <w:b w:val="0"/>
          <w:bCs w:val="0"/>
          <w:caps w:val="0"/>
          <w:color w:val="auto"/>
          <w:kern w:val="0"/>
          <w:sz w:val="32"/>
          <w:szCs w:val="32"/>
          <w:vertAlign w:val="baseline"/>
          <w:lang w:val="en-US" w:eastAsia="zh-CN" w:bidi="ar"/>
        </w:rPr>
        <w:t xml:space="preserve"> 2.项目支出绩效自评结果。</w:t>
      </w:r>
    </w:p>
    <w:p w14:paraId="34710211">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 w:hAnsi="仿宋" w:eastAsia="仿宋" w:cs="仿宋"/>
          <w:caps w:val="0"/>
          <w:color w:val="auto"/>
          <w:kern w:val="0"/>
          <w:sz w:val="32"/>
          <w:szCs w:val="32"/>
          <w:vertAlign w:val="baseline"/>
          <w:lang w:eastAsia="zh-CN" w:bidi="ar"/>
        </w:rPr>
      </w:pPr>
      <w:r>
        <w:rPr>
          <w:rFonts w:hint="eastAsia" w:ascii="仿宋" w:hAnsi="仿宋" w:eastAsia="仿宋" w:cs="仿宋"/>
          <w:b w:val="0"/>
          <w:bCs w:val="0"/>
          <w:caps w:val="0"/>
          <w:color w:val="auto"/>
          <w:kern w:val="0"/>
          <w:sz w:val="32"/>
          <w:szCs w:val="32"/>
          <w:vertAlign w:val="baseline"/>
          <w:lang w:val="en" w:eastAsia="zh-CN" w:bidi="ar"/>
        </w:rPr>
        <w:t>(1)</w:t>
      </w:r>
      <w:r>
        <w:rPr>
          <w:rFonts w:hint="eastAsia" w:ascii="仿宋" w:hAnsi="仿宋" w:eastAsia="仿宋" w:cs="仿宋"/>
          <w:b w:val="0"/>
          <w:bCs w:val="0"/>
          <w:caps w:val="0"/>
          <w:color w:val="auto"/>
          <w:kern w:val="0"/>
          <w:sz w:val="32"/>
          <w:szCs w:val="32"/>
          <w:vertAlign w:val="baseline"/>
          <w:lang w:val="en-US" w:eastAsia="zh-CN" w:bidi="ar"/>
        </w:rPr>
        <w:t>项目绩效自评总体情况：我部门2023年度项目</w:t>
      </w:r>
      <w:r>
        <w:rPr>
          <w:rFonts w:hint="eastAsia" w:ascii="仿宋" w:hAnsi="仿宋" w:eastAsia="仿宋" w:cs="仿宋"/>
          <w:kern w:val="0"/>
          <w:sz w:val="32"/>
          <w:szCs w:val="32"/>
          <w:lang w:val="en-US" w:eastAsia="zh-CN"/>
        </w:rPr>
        <w:t>19</w:t>
      </w:r>
      <w:r>
        <w:rPr>
          <w:rFonts w:hint="eastAsia" w:ascii="仿宋" w:hAnsi="仿宋" w:eastAsia="仿宋" w:cs="仿宋"/>
          <w:b w:val="0"/>
          <w:bCs w:val="0"/>
          <w:caps w:val="0"/>
          <w:color w:val="auto"/>
          <w:kern w:val="0"/>
          <w:sz w:val="32"/>
          <w:szCs w:val="32"/>
          <w:vertAlign w:val="baseline"/>
          <w:lang w:val="en-US" w:eastAsia="zh-CN" w:bidi="ar"/>
        </w:rPr>
        <w:t>个，项目支出总额</w:t>
      </w:r>
      <w:r>
        <w:rPr>
          <w:rFonts w:hint="eastAsia" w:ascii="仿宋" w:hAnsi="仿宋" w:eastAsia="仿宋" w:cs="仿宋"/>
          <w:kern w:val="0"/>
          <w:sz w:val="32"/>
          <w:szCs w:val="32"/>
          <w:lang w:val="en-US" w:eastAsia="zh-CN"/>
        </w:rPr>
        <w:t>238.11</w:t>
      </w:r>
      <w:r>
        <w:rPr>
          <w:rFonts w:hint="eastAsia" w:ascii="仿宋" w:hAnsi="仿宋" w:eastAsia="仿宋" w:cs="仿宋"/>
          <w:b w:val="0"/>
          <w:bCs w:val="0"/>
          <w:caps w:val="0"/>
          <w:color w:val="auto"/>
          <w:kern w:val="0"/>
          <w:sz w:val="32"/>
          <w:szCs w:val="32"/>
          <w:vertAlign w:val="baseline"/>
          <w:lang w:val="en-US" w:eastAsia="zh-CN" w:bidi="ar"/>
        </w:rPr>
        <w:t>万元。其中，本级项目</w:t>
      </w:r>
      <w:r>
        <w:rPr>
          <w:rFonts w:hint="eastAsia" w:ascii="仿宋" w:hAnsi="仿宋" w:eastAsia="仿宋" w:cs="仿宋"/>
          <w:kern w:val="0"/>
          <w:sz w:val="32"/>
          <w:szCs w:val="32"/>
          <w:lang w:val="en-US" w:eastAsia="zh-CN"/>
        </w:rPr>
        <w:t>19</w:t>
      </w:r>
      <w:r>
        <w:rPr>
          <w:rFonts w:hint="eastAsia" w:ascii="仿宋" w:hAnsi="仿宋" w:eastAsia="仿宋" w:cs="仿宋"/>
          <w:b w:val="0"/>
          <w:bCs w:val="0"/>
          <w:caps w:val="0"/>
          <w:color w:val="auto"/>
          <w:kern w:val="0"/>
          <w:sz w:val="32"/>
          <w:szCs w:val="32"/>
          <w:vertAlign w:val="baseline"/>
          <w:lang w:val="en-US" w:eastAsia="zh-CN" w:bidi="ar"/>
        </w:rPr>
        <w:t>个，本级项目支出</w:t>
      </w:r>
      <w:r>
        <w:rPr>
          <w:rFonts w:hint="eastAsia" w:ascii="仿宋" w:hAnsi="仿宋" w:eastAsia="仿宋" w:cs="仿宋"/>
          <w:kern w:val="0"/>
          <w:sz w:val="32"/>
          <w:szCs w:val="32"/>
          <w:lang w:val="en-US" w:eastAsia="zh-CN"/>
        </w:rPr>
        <w:t>238.11</w:t>
      </w:r>
      <w:r>
        <w:rPr>
          <w:rFonts w:hint="eastAsia" w:ascii="仿宋" w:hAnsi="仿宋" w:eastAsia="仿宋" w:cs="仿宋"/>
          <w:b w:val="0"/>
          <w:bCs w:val="0"/>
          <w:caps w:val="0"/>
          <w:color w:val="auto"/>
          <w:kern w:val="0"/>
          <w:sz w:val="32"/>
          <w:szCs w:val="32"/>
          <w:vertAlign w:val="baseline"/>
          <w:lang w:val="en-US" w:eastAsia="zh-CN" w:bidi="ar"/>
        </w:rPr>
        <w:t>万元；对下转移支付项目</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个，对下转移支付</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万元。项目中，敏感涉密项目</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个，涉及资金</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万元。</w:t>
      </w:r>
    </w:p>
    <w:p w14:paraId="10BE0817">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b w:val="0"/>
          <w:bCs w:val="0"/>
          <w:caps w:val="0"/>
          <w:color w:val="auto"/>
          <w:kern w:val="0"/>
          <w:sz w:val="32"/>
          <w:szCs w:val="32"/>
          <w:vertAlign w:val="baseline"/>
          <w:lang w:val="en-US" w:eastAsia="zh-CN" w:bidi="ar"/>
        </w:rPr>
      </w:pPr>
      <w:r>
        <w:rPr>
          <w:rFonts w:hint="eastAsia" w:ascii="仿宋" w:hAnsi="仿宋" w:eastAsia="仿宋" w:cs="仿宋"/>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 w:hAnsi="仿宋" w:eastAsia="仿宋" w:cs="仿宋"/>
          <w:kern w:val="0"/>
          <w:sz w:val="32"/>
          <w:szCs w:val="32"/>
          <w:lang w:val="en-US" w:eastAsia="zh-CN"/>
        </w:rPr>
        <w:t>19</w:t>
      </w:r>
      <w:r>
        <w:rPr>
          <w:rFonts w:hint="eastAsia" w:ascii="仿宋" w:hAnsi="仿宋" w:eastAsia="仿宋" w:cs="仿宋"/>
          <w:b w:val="0"/>
          <w:bCs w:val="0"/>
          <w:caps w:val="0"/>
          <w:color w:val="auto"/>
          <w:kern w:val="0"/>
          <w:sz w:val="32"/>
          <w:szCs w:val="32"/>
          <w:vertAlign w:val="baseline"/>
          <w:lang w:val="en-US" w:eastAsia="zh-CN" w:bidi="ar"/>
        </w:rPr>
        <w:t>个项目评为一等，涉及资金</w:t>
      </w:r>
      <w:r>
        <w:rPr>
          <w:rFonts w:hint="eastAsia" w:ascii="仿宋" w:hAnsi="仿宋" w:eastAsia="仿宋" w:cs="仿宋"/>
          <w:kern w:val="0"/>
          <w:sz w:val="32"/>
          <w:szCs w:val="32"/>
          <w:lang w:val="en-US" w:eastAsia="zh-CN"/>
        </w:rPr>
        <w:t>238.21</w:t>
      </w:r>
      <w:r>
        <w:rPr>
          <w:rFonts w:hint="eastAsia" w:ascii="仿宋" w:hAnsi="仿宋" w:eastAsia="仿宋" w:cs="仿宋"/>
          <w:b w:val="0"/>
          <w:bCs w:val="0"/>
          <w:caps w:val="0"/>
          <w:color w:val="auto"/>
          <w:kern w:val="0"/>
          <w:sz w:val="32"/>
          <w:szCs w:val="32"/>
          <w:vertAlign w:val="baseline"/>
          <w:lang w:val="en-US" w:eastAsia="zh-CN" w:bidi="ar"/>
        </w:rPr>
        <w:t>万元，占项目总数比例100%，占项目支出总额比例</w:t>
      </w:r>
      <w:r>
        <w:rPr>
          <w:rFonts w:hint="eastAsia" w:ascii="仿宋" w:hAnsi="仿宋" w:eastAsia="仿宋" w:cs="仿宋"/>
          <w:kern w:val="0"/>
          <w:sz w:val="32"/>
          <w:szCs w:val="32"/>
          <w:lang w:val="en-US" w:eastAsia="zh-CN"/>
        </w:rPr>
        <w:t>100</w:t>
      </w:r>
      <w:r>
        <w:rPr>
          <w:rFonts w:hint="eastAsia" w:ascii="仿宋" w:hAnsi="仿宋" w:eastAsia="仿宋" w:cs="仿宋"/>
          <w:b w:val="0"/>
          <w:bCs w:val="0"/>
          <w:caps w:val="0"/>
          <w:color w:val="auto"/>
          <w:kern w:val="0"/>
          <w:sz w:val="32"/>
          <w:szCs w:val="32"/>
          <w:vertAlign w:val="baseline"/>
          <w:lang w:val="en-US" w:eastAsia="zh-CN" w:bidi="ar"/>
        </w:rPr>
        <w:t>%；</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个项目评为二等，涉及资金</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万元，占项目总数比例</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%，占项目支出总额比例</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个项目评为三等，涉及资金</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万元，占项目总数比例</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%，占项目支出总额比例</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 xml:space="preserve"> %；</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个项目评为四等，涉及资金</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万元，占项目总数比例</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%，占项目支出总额比例</w:t>
      </w:r>
      <w:r>
        <w:rPr>
          <w:rFonts w:hint="eastAsia" w:ascii="仿宋" w:hAnsi="仿宋" w:eastAsia="仿宋" w:cs="仿宋"/>
          <w:kern w:val="0"/>
          <w:sz w:val="32"/>
          <w:szCs w:val="32"/>
          <w:lang w:val="en-US" w:eastAsia="zh-CN"/>
        </w:rPr>
        <w:t>0</w:t>
      </w:r>
      <w:r>
        <w:rPr>
          <w:rFonts w:hint="eastAsia" w:ascii="仿宋" w:hAnsi="仿宋" w:eastAsia="仿宋" w:cs="仿宋"/>
          <w:b w:val="0"/>
          <w:bCs w:val="0"/>
          <w:caps w:val="0"/>
          <w:color w:val="auto"/>
          <w:kern w:val="0"/>
          <w:sz w:val="32"/>
          <w:szCs w:val="32"/>
          <w:vertAlign w:val="baseline"/>
          <w:lang w:val="en-US" w:eastAsia="zh-CN" w:bidi="ar"/>
        </w:rPr>
        <w:t>%。    自评发现的主要问题及原因：</w:t>
      </w:r>
    </w:p>
    <w:p w14:paraId="748395F7">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b w:val="0"/>
          <w:bCs w:val="0"/>
          <w:caps w:val="0"/>
          <w:color w:val="auto"/>
          <w:kern w:val="0"/>
          <w:sz w:val="32"/>
          <w:szCs w:val="32"/>
          <w:vertAlign w:val="baseline"/>
          <w:lang w:val="en-US" w:eastAsia="zh-CN" w:bidi="ar"/>
        </w:rPr>
      </w:pPr>
      <w:r>
        <w:rPr>
          <w:rFonts w:hint="eastAsia" w:ascii="仿宋" w:hAnsi="仿宋" w:eastAsia="仿宋" w:cs="仿宋"/>
          <w:b w:val="0"/>
          <w:bCs w:val="0"/>
          <w:caps w:val="0"/>
          <w:color w:val="auto"/>
          <w:kern w:val="0"/>
          <w:sz w:val="32"/>
          <w:szCs w:val="32"/>
          <w:vertAlign w:val="baseline"/>
          <w:lang w:val="en-US" w:eastAsia="zh-CN" w:bidi="ar"/>
        </w:rPr>
        <w:t>（一）对有些财务指标理解不是很透彻；</w:t>
      </w:r>
    </w:p>
    <w:p w14:paraId="5BF74064">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b w:val="0"/>
          <w:bCs w:val="0"/>
          <w:caps w:val="0"/>
          <w:color w:val="auto"/>
          <w:kern w:val="0"/>
          <w:sz w:val="32"/>
          <w:szCs w:val="32"/>
          <w:vertAlign w:val="baseline"/>
          <w:lang w:val="en-US" w:eastAsia="zh-CN" w:bidi="ar"/>
        </w:rPr>
      </w:pPr>
      <w:r>
        <w:rPr>
          <w:rFonts w:hint="eastAsia" w:ascii="仿宋" w:hAnsi="仿宋" w:eastAsia="仿宋" w:cs="仿宋"/>
          <w:b w:val="0"/>
          <w:bCs w:val="0"/>
          <w:caps w:val="0"/>
          <w:color w:val="auto"/>
          <w:kern w:val="0"/>
          <w:sz w:val="32"/>
          <w:szCs w:val="32"/>
          <w:vertAlign w:val="baseline"/>
          <w:lang w:val="en-US" w:eastAsia="zh-CN" w:bidi="ar"/>
        </w:rPr>
        <w:t>（二）财务制度不够完善和严谨。</w:t>
      </w:r>
    </w:p>
    <w:p w14:paraId="2B83D41E">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jc w:val="both"/>
        <w:outlineLvl w:val="9"/>
        <w:rPr>
          <w:rFonts w:hint="eastAsia" w:ascii="仿宋" w:hAnsi="仿宋" w:eastAsia="仿宋" w:cs="仿宋"/>
          <w:b w:val="0"/>
          <w:bCs w:val="0"/>
          <w:caps w:val="0"/>
          <w:color w:val="auto"/>
          <w:kern w:val="0"/>
          <w:sz w:val="32"/>
          <w:szCs w:val="32"/>
          <w:vertAlign w:val="baseline"/>
          <w:lang w:val="en-US" w:eastAsia="zh-CN" w:bidi="ar"/>
        </w:rPr>
      </w:pPr>
      <w:r>
        <w:rPr>
          <w:rFonts w:hint="eastAsia" w:ascii="仿宋" w:hAnsi="仿宋" w:eastAsia="仿宋" w:cs="仿宋"/>
          <w:b w:val="0"/>
          <w:bCs w:val="0"/>
          <w:caps w:val="0"/>
          <w:color w:val="auto"/>
          <w:kern w:val="0"/>
          <w:sz w:val="32"/>
          <w:szCs w:val="32"/>
          <w:vertAlign w:val="baseline"/>
          <w:lang w:val="en-US" w:eastAsia="zh-CN" w:bidi="ar"/>
        </w:rPr>
        <w:t>下一步改进措施：</w:t>
      </w:r>
    </w:p>
    <w:p w14:paraId="1EC45BCF">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b w:val="0"/>
          <w:bCs w:val="0"/>
          <w:caps w:val="0"/>
          <w:color w:val="auto"/>
          <w:kern w:val="0"/>
          <w:sz w:val="32"/>
          <w:szCs w:val="32"/>
          <w:vertAlign w:val="baseline"/>
          <w:lang w:val="en-US" w:eastAsia="zh-CN" w:bidi="ar"/>
        </w:rPr>
      </w:pPr>
      <w:r>
        <w:rPr>
          <w:rFonts w:hint="eastAsia" w:ascii="仿宋" w:hAnsi="仿宋" w:eastAsia="仿宋" w:cs="仿宋"/>
          <w:b w:val="0"/>
          <w:bCs w:val="0"/>
          <w:caps w:val="0"/>
          <w:color w:val="auto"/>
          <w:kern w:val="0"/>
          <w:sz w:val="32"/>
          <w:szCs w:val="32"/>
          <w:vertAlign w:val="baseline"/>
          <w:lang w:val="en-US" w:eastAsia="zh-CN" w:bidi="ar"/>
        </w:rPr>
        <w:t>（一）加强对业务的学习。</w:t>
      </w:r>
    </w:p>
    <w:p w14:paraId="43A6A39D">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b w:val="0"/>
          <w:bCs w:val="0"/>
          <w:caps w:val="0"/>
          <w:color w:val="auto"/>
          <w:kern w:val="0"/>
          <w:sz w:val="32"/>
          <w:szCs w:val="32"/>
          <w:vertAlign w:val="baseline"/>
          <w:lang w:val="en-US" w:eastAsia="zh-CN" w:bidi="ar"/>
        </w:rPr>
      </w:pPr>
      <w:r>
        <w:rPr>
          <w:rFonts w:hint="eastAsia" w:ascii="仿宋" w:hAnsi="仿宋" w:eastAsia="仿宋" w:cs="仿宋"/>
          <w:b w:val="0"/>
          <w:bCs w:val="0"/>
          <w:caps w:val="0"/>
          <w:color w:val="auto"/>
          <w:kern w:val="0"/>
          <w:sz w:val="32"/>
          <w:szCs w:val="32"/>
          <w:vertAlign w:val="baseline"/>
          <w:lang w:val="en-US" w:eastAsia="zh-CN" w:bidi="ar"/>
        </w:rPr>
        <w:t>(二)完善管理制度，进一步加强资产管理。进一步贯彻落实中火,区市的各项规章制度，建立“三公经费”等公务支出管理制度及厉行节约制度，加强经费审批和控制，规范支出标准与范围，并严格执行。严格按照《固定资产管理办法》的规定加强固定资产管理，及时登记、更新台账，加强资产卡片管理。</w:t>
      </w:r>
    </w:p>
    <w:p w14:paraId="5FE0C045">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aps w:val="0"/>
          <w:color w:val="auto"/>
          <w:kern w:val="0"/>
          <w:sz w:val="32"/>
          <w:szCs w:val="32"/>
          <w:vertAlign w:val="baseline"/>
          <w:lang w:bidi="ar"/>
        </w:rPr>
      </w:pPr>
      <w:r>
        <w:rPr>
          <w:rFonts w:hint="eastAsia" w:ascii="仿宋" w:hAnsi="仿宋" w:eastAsia="仿宋" w:cs="仿宋"/>
          <w:b w:val="0"/>
          <w:bCs w:val="0"/>
          <w:caps w:val="0"/>
          <w:color w:val="auto"/>
          <w:kern w:val="0"/>
          <w:sz w:val="32"/>
          <w:szCs w:val="32"/>
          <w:vertAlign w:val="baseline"/>
          <w:lang w:val="en-US" w:eastAsia="zh-CN" w:bidi="ar"/>
        </w:rPr>
        <w:t>（三）积极开展预算绩效管理工作。在今后的工作中，我单位将在预算编制环节通过事前评价的方式，发现并去除评价不高的项目，避免财政资金的浪费。在财政支出过程中，及时根据资金使用进度，考核阶段性目标的完成进度，提高资金使用效率。并在每个项目结束后进行严格自查，根据事前设定的绩效目标科学评判支出的效率效果，并将评价结果合理运用于来年的预算编制中。做到预算财务分析常态化，定期做好预算支出财务分析，做好部门整体支出预算评价工作。</w:t>
      </w:r>
    </w:p>
    <w:p w14:paraId="6F719CEE">
      <w:pPr>
        <w:keepNext w:val="0"/>
        <w:keepLines w:val="0"/>
        <w:pageBreakBefore w:val="0"/>
        <w:widowControl w:val="0"/>
        <w:numPr>
          <w:ilvl w:val="0"/>
          <w:numId w:val="4"/>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b w:val="0"/>
          <w:bCs w:val="0"/>
          <w:caps w:val="0"/>
          <w:color w:val="auto"/>
          <w:kern w:val="0"/>
          <w:sz w:val="32"/>
          <w:szCs w:val="32"/>
          <w:vertAlign w:val="baseline"/>
          <w:lang w:val="en-US" w:eastAsia="zh-CN" w:bidi="ar"/>
        </w:rPr>
      </w:pPr>
      <w:r>
        <w:rPr>
          <w:rFonts w:hint="eastAsia" w:ascii="仿宋" w:hAnsi="仿宋" w:eastAsia="仿宋" w:cs="仿宋"/>
          <w:b w:val="0"/>
          <w:bCs w:val="0"/>
          <w:caps w:val="0"/>
          <w:color w:val="auto"/>
          <w:kern w:val="0"/>
          <w:sz w:val="32"/>
          <w:szCs w:val="32"/>
          <w:vertAlign w:val="baseline"/>
          <w:lang w:val="en-US" w:eastAsia="zh-CN" w:bidi="ar"/>
        </w:rPr>
        <w:t>部分重点项目绩效自评情况：根据年初设定的绩效目标，中央财政基本公共卫生服务项目补助资金项目自评得分为100分，一等，项目全年预算数为</w:t>
      </w:r>
      <w:r>
        <w:rPr>
          <w:rFonts w:hint="eastAsia" w:ascii="仿宋" w:hAnsi="仿宋" w:eastAsia="仿宋" w:cs="仿宋"/>
          <w:kern w:val="0"/>
          <w:sz w:val="32"/>
          <w:szCs w:val="32"/>
          <w:lang w:val="en-US" w:eastAsia="zh-CN"/>
        </w:rPr>
        <w:t>9.24</w:t>
      </w:r>
      <w:r>
        <w:rPr>
          <w:rFonts w:hint="eastAsia" w:ascii="仿宋" w:hAnsi="仿宋" w:eastAsia="仿宋" w:cs="仿宋"/>
          <w:b w:val="0"/>
          <w:bCs w:val="0"/>
          <w:caps w:val="0"/>
          <w:color w:val="auto"/>
          <w:kern w:val="0"/>
          <w:sz w:val="32"/>
          <w:szCs w:val="32"/>
          <w:vertAlign w:val="baseline"/>
          <w:lang w:val="en-US" w:eastAsia="zh-CN" w:bidi="ar"/>
        </w:rPr>
        <w:t>万元，执行数为</w:t>
      </w:r>
      <w:r>
        <w:rPr>
          <w:rFonts w:hint="eastAsia" w:ascii="仿宋" w:hAnsi="仿宋" w:eastAsia="仿宋" w:cs="仿宋"/>
          <w:kern w:val="0"/>
          <w:sz w:val="32"/>
          <w:szCs w:val="32"/>
          <w:lang w:val="en-US" w:eastAsia="zh-CN"/>
        </w:rPr>
        <w:t>9.24</w:t>
      </w:r>
      <w:r>
        <w:rPr>
          <w:rFonts w:hint="eastAsia" w:ascii="仿宋" w:hAnsi="仿宋" w:eastAsia="仿宋" w:cs="仿宋"/>
          <w:b w:val="0"/>
          <w:bCs w:val="0"/>
          <w:caps w:val="0"/>
          <w:color w:val="auto"/>
          <w:kern w:val="0"/>
          <w:sz w:val="32"/>
          <w:szCs w:val="32"/>
          <w:vertAlign w:val="baseline"/>
          <w:lang w:val="en-US" w:eastAsia="zh-CN" w:bidi="ar"/>
        </w:rPr>
        <w:t>万元，完成预算的100%。项目绩效目标完成情况：一是服务人数已达到常驻人口数；二是居民规范化电子健康档案覆盖率达到60%；三是居民满意度达到80%。</w:t>
      </w:r>
    </w:p>
    <w:p w14:paraId="0969DBE9">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rightChars="0" w:firstLine="640" w:firstLineChars="200"/>
        <w:jc w:val="both"/>
        <w:outlineLvl w:val="9"/>
        <w:rPr>
          <w:rFonts w:hint="eastAsia" w:ascii="仿宋" w:hAnsi="仿宋" w:eastAsia="仿宋" w:cs="仿宋"/>
          <w:caps w:val="0"/>
          <w:color w:val="auto"/>
          <w:kern w:val="0"/>
          <w:sz w:val="32"/>
          <w:szCs w:val="32"/>
          <w:highlight w:val="lightGray"/>
          <w:vertAlign w:val="baseline"/>
          <w:lang w:eastAsia="zh-CN" w:bidi="ar"/>
        </w:rPr>
      </w:pPr>
      <w:r>
        <w:rPr>
          <w:rFonts w:hint="eastAsia" w:ascii="仿宋" w:hAnsi="仿宋" w:eastAsia="仿宋" w:cs="仿宋"/>
          <w:b w:val="0"/>
          <w:bCs w:val="0"/>
          <w:caps w:val="0"/>
          <w:color w:val="auto"/>
          <w:kern w:val="0"/>
          <w:sz w:val="32"/>
          <w:szCs w:val="32"/>
          <w:vertAlign w:val="baseline"/>
          <w:lang w:val="en-US" w:eastAsia="zh-CN" w:bidi="ar"/>
        </w:rPr>
        <w:t>3.部门绩效评价结果。</w:t>
      </w:r>
    </w:p>
    <w:p w14:paraId="62CDB664">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b w:val="0"/>
          <w:bCs w:val="0"/>
          <w:caps w:val="0"/>
          <w:color w:val="auto"/>
          <w:kern w:val="0"/>
          <w:sz w:val="32"/>
          <w:szCs w:val="32"/>
          <w:vertAlign w:val="baseline"/>
          <w:lang w:val="en-US" w:eastAsia="zh-CN" w:bidi="ar"/>
        </w:rPr>
      </w:pPr>
      <w:r>
        <w:rPr>
          <w:rFonts w:hint="eastAsia" w:ascii="仿宋" w:hAnsi="仿宋" w:eastAsia="仿宋" w:cs="仿宋"/>
          <w:b w:val="0"/>
          <w:bCs w:val="0"/>
          <w:caps w:val="0"/>
          <w:color w:val="auto"/>
          <w:kern w:val="0"/>
          <w:sz w:val="32"/>
          <w:szCs w:val="32"/>
          <w:vertAlign w:val="baseline"/>
          <w:lang w:val="en-US" w:eastAsia="zh-CN" w:bidi="ar"/>
        </w:rPr>
        <w:t>组织对0个重点项目进行了部门评价，评价结果为0等，涉及资金0万元。从评价情况来看，</w:t>
      </w:r>
    </w:p>
    <w:p w14:paraId="59E7CFF9">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aps w:val="0"/>
          <w:color w:val="auto"/>
          <w:kern w:val="0"/>
          <w:sz w:val="32"/>
          <w:szCs w:val="32"/>
          <w:vertAlign w:val="baseline"/>
          <w:lang w:val="en-US" w:eastAsia="zh-CN" w:bidi="ar"/>
        </w:rPr>
      </w:pPr>
      <w:r>
        <w:rPr>
          <w:rFonts w:hint="eastAsia" w:ascii="仿宋" w:hAnsi="仿宋" w:eastAsia="仿宋" w:cs="仿宋"/>
          <w:caps w:val="0"/>
          <w:color w:val="auto"/>
          <w:kern w:val="0"/>
          <w:sz w:val="32"/>
          <w:szCs w:val="32"/>
          <w:vertAlign w:val="baseline"/>
          <w:lang w:val="en-US" w:eastAsia="zh-CN" w:bidi="ar"/>
        </w:rPr>
        <w:t>4.财政绩效评价结果。</w:t>
      </w:r>
    </w:p>
    <w:p w14:paraId="7AAEC920">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b/>
          <w:kern w:val="0"/>
          <w:sz w:val="32"/>
          <w:szCs w:val="32"/>
        </w:rPr>
      </w:pPr>
      <w:r>
        <w:rPr>
          <w:rFonts w:hint="eastAsia" w:ascii="仿宋" w:hAnsi="仿宋" w:eastAsia="仿宋" w:cs="仿宋"/>
          <w:caps w:val="0"/>
          <w:color w:val="auto"/>
          <w:kern w:val="0"/>
          <w:sz w:val="32"/>
          <w:szCs w:val="32"/>
          <w:vertAlign w:val="baseline"/>
          <w:lang w:eastAsia="zh-CN" w:bidi="ar"/>
        </w:rPr>
        <w:t>自治区财政厅组织对</w:t>
      </w:r>
      <w:r>
        <w:rPr>
          <w:rFonts w:hint="eastAsia" w:ascii="仿宋" w:hAnsi="仿宋" w:eastAsia="仿宋" w:cs="仿宋"/>
          <w:caps w:val="0"/>
          <w:color w:val="auto"/>
          <w:kern w:val="0"/>
          <w:sz w:val="32"/>
          <w:szCs w:val="32"/>
          <w:vertAlign w:val="baseline"/>
          <w:lang w:val="en-US" w:eastAsia="zh-CN" w:bidi="ar"/>
        </w:rPr>
        <w:t>0个项目开展了绩效评价，评价结果为</w:t>
      </w:r>
      <w:r>
        <w:rPr>
          <w:rFonts w:hint="eastAsia" w:ascii="仿宋" w:hAnsi="仿宋" w:eastAsia="仿宋" w:cs="仿宋"/>
          <w:color w:val="auto"/>
          <w:kern w:val="0"/>
          <w:sz w:val="32"/>
          <w:szCs w:val="32"/>
          <w:lang w:val="en-US" w:eastAsia="zh-CN" w:bidi="ar"/>
        </w:rPr>
        <w:t>0</w:t>
      </w:r>
      <w:r>
        <w:rPr>
          <w:rFonts w:hint="eastAsia" w:ascii="仿宋" w:hAnsi="仿宋" w:eastAsia="仿宋" w:cs="仿宋"/>
          <w:caps w:val="0"/>
          <w:color w:val="auto"/>
          <w:kern w:val="0"/>
          <w:sz w:val="32"/>
          <w:szCs w:val="32"/>
          <w:vertAlign w:val="baseline"/>
          <w:lang w:val="en-US" w:eastAsia="zh-CN" w:bidi="ar"/>
        </w:rPr>
        <w:t>等，涉及资金0万元。</w:t>
      </w:r>
    </w:p>
    <w:p w14:paraId="44DEFFAD">
      <w:pPr>
        <w:autoSpaceDE w:val="0"/>
        <w:autoSpaceDN w:val="0"/>
        <w:adjustRightInd w:val="0"/>
        <w:spacing w:line="560" w:lineRule="exact"/>
        <w:jc w:val="center"/>
        <w:rPr>
          <w:rFonts w:hint="eastAsia" w:ascii="黑体" w:hAnsi="黑体" w:eastAsia="黑体" w:cs="仿宋_GB2312"/>
          <w:kern w:val="0"/>
          <w:sz w:val="32"/>
          <w:szCs w:val="32"/>
        </w:rPr>
      </w:pPr>
    </w:p>
    <w:p w14:paraId="3073D64F">
      <w:pPr>
        <w:pStyle w:val="2"/>
        <w:rPr>
          <w:rFonts w:hint="eastAsia" w:ascii="黑体" w:hAnsi="黑体" w:eastAsia="黑体" w:cs="仿宋_GB2312"/>
          <w:kern w:val="0"/>
          <w:sz w:val="32"/>
          <w:szCs w:val="32"/>
        </w:rPr>
      </w:pPr>
    </w:p>
    <w:p w14:paraId="4051B8C2">
      <w:pPr>
        <w:rPr>
          <w:rFonts w:hint="eastAsia" w:ascii="黑体" w:hAnsi="黑体" w:eastAsia="黑体" w:cs="仿宋_GB2312"/>
          <w:kern w:val="0"/>
          <w:sz w:val="32"/>
          <w:szCs w:val="32"/>
        </w:rPr>
      </w:pPr>
    </w:p>
    <w:p w14:paraId="7D39FC35">
      <w:pPr>
        <w:pStyle w:val="2"/>
        <w:rPr>
          <w:rFonts w:hint="eastAsia" w:ascii="黑体" w:hAnsi="黑体" w:eastAsia="黑体" w:cs="仿宋_GB2312"/>
          <w:kern w:val="0"/>
          <w:sz w:val="32"/>
          <w:szCs w:val="32"/>
        </w:rPr>
      </w:pPr>
    </w:p>
    <w:p w14:paraId="5D967F11">
      <w:pPr>
        <w:rPr>
          <w:rFonts w:hint="eastAsia" w:ascii="黑体" w:hAnsi="黑体" w:eastAsia="黑体" w:cs="仿宋_GB2312"/>
          <w:kern w:val="0"/>
          <w:sz w:val="32"/>
          <w:szCs w:val="32"/>
        </w:rPr>
      </w:pPr>
    </w:p>
    <w:p w14:paraId="1D9107F8">
      <w:pPr>
        <w:pStyle w:val="2"/>
        <w:rPr>
          <w:rFonts w:hint="eastAsia"/>
        </w:rPr>
      </w:pPr>
    </w:p>
    <w:p w14:paraId="13CFBB3B">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32656127">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 xml:space="preserve">一、财政拨款收入：指自治区财政部门当年拨付的资金。 </w:t>
      </w:r>
    </w:p>
    <w:p w14:paraId="57A54A8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14:paraId="0897EC5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14:paraId="29E89AC1">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14:paraId="4CE80E6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五、使用非财政拨款结余</w:t>
      </w:r>
      <w:r>
        <w:rPr>
          <w:rFonts w:hint="eastAsia" w:ascii="仿宋" w:hAnsi="仿宋" w:eastAsia="仿宋" w:cs="仿宋"/>
          <w:sz w:val="32"/>
          <w:szCs w:val="32"/>
          <w:lang w:eastAsia="zh-CN"/>
        </w:rPr>
        <w:t>（含专用结余）</w:t>
      </w:r>
      <w:r>
        <w:rPr>
          <w:rFonts w:hint="eastAsia" w:ascii="仿宋" w:hAnsi="仿宋" w:eastAsia="仿宋" w:cs="仿宋"/>
          <w:sz w:val="32"/>
          <w:szCs w:val="32"/>
        </w:rPr>
        <w:t xml:space="preserve">：指事业单位在当年的“财政拨款收入”“事业收入”“经营收入”“其他收入”不足以安排当年支出的情况下，使用非财政拨款结余、专用结余弥补本年度收支缺口的资金。 </w:t>
      </w:r>
    </w:p>
    <w:p w14:paraId="0A26D0F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六、年初结转和结余：指以前年度尚未完成、结转到本年 按有关规定继续使用的资金。 </w:t>
      </w:r>
    </w:p>
    <w:p w14:paraId="6665C55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七、结余分配：指事业单位按规定提取的职工福利基金、事业基金和缴纳的所得税，以及建设单位按规定应交回的基本建设竣工项目结余资金。 </w:t>
      </w:r>
    </w:p>
    <w:p w14:paraId="14A9AF8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八、年末结转和结余：指本年度或以前年度预算安排、因客观条件发生变化无法按原计划实施，需要延迟到以后年度按有关规定继续使用的资金。 </w:t>
      </w:r>
    </w:p>
    <w:p w14:paraId="6041406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九、基本支出：指为保障机构正常运转、完成日常工作任务而发生的人员支出和公用支出。 </w:t>
      </w:r>
    </w:p>
    <w:p w14:paraId="4EAF282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十、项目支出：指在基本支出之外为完成特定行政任务和事业发展目标所发生的支出。 </w:t>
      </w:r>
    </w:p>
    <w:p w14:paraId="760BC757">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14:paraId="50EA5FF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7224A1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BBBC93">
      <w:pPr>
        <w:ind w:firstLine="3520" w:firstLineChars="1100"/>
        <w:jc w:val="left"/>
        <w:rPr>
          <w:rFonts w:hint="eastAsia" w:ascii="仿宋" w:hAnsi="仿宋" w:eastAsia="仿宋" w:cs="仿宋"/>
          <w:sz w:val="32"/>
          <w:szCs w:val="32"/>
          <w:highlight w:val="none"/>
          <w:lang w:val="en-US" w:eastAsia="zh-CN"/>
        </w:rPr>
      </w:pPr>
    </w:p>
    <w:p w14:paraId="5E90A9AC">
      <w:pPr>
        <w:ind w:firstLine="3520" w:firstLineChars="1100"/>
        <w:jc w:val="left"/>
        <w:rPr>
          <w:rFonts w:hint="eastAsia" w:ascii="仿宋" w:hAnsi="仿宋" w:eastAsia="仿宋" w:cs="仿宋"/>
          <w:sz w:val="32"/>
          <w:szCs w:val="32"/>
          <w:highlight w:val="none"/>
          <w:lang w:val="en-US" w:eastAsia="zh-CN"/>
        </w:rPr>
      </w:pPr>
    </w:p>
    <w:p w14:paraId="1A022A89">
      <w:pPr>
        <w:ind w:firstLine="3520" w:firstLineChars="1100"/>
        <w:jc w:val="left"/>
        <w:rPr>
          <w:rFonts w:hint="eastAsia" w:ascii="仿宋" w:hAnsi="仿宋" w:eastAsia="仿宋" w:cs="仿宋"/>
          <w:sz w:val="32"/>
          <w:szCs w:val="32"/>
          <w:highlight w:val="none"/>
          <w:lang w:val="en-US" w:eastAsia="zh-CN"/>
        </w:rPr>
      </w:pPr>
    </w:p>
    <w:p w14:paraId="4535CAC4">
      <w:pPr>
        <w:ind w:firstLine="3520" w:firstLineChars="1100"/>
        <w:jc w:val="left"/>
        <w:rPr>
          <w:rFonts w:hint="eastAsia" w:ascii="仿宋" w:hAnsi="仿宋" w:eastAsia="仿宋" w:cs="仿宋"/>
          <w:sz w:val="32"/>
          <w:szCs w:val="32"/>
          <w:highlight w:val="none"/>
          <w:lang w:val="en-US" w:eastAsia="zh-CN"/>
        </w:rPr>
      </w:pPr>
    </w:p>
    <w:p w14:paraId="174DFB03">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UnicodeMS">
    <w:altName w:val="方正小标宋简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E913B">
    <w:pPr>
      <w:pStyle w:val="3"/>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5C261">
    <w:pPr>
      <w:pStyle w:val="3"/>
      <w:ind w:firstLine="420" w:firstLineChars="15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F53A9"/>
    <w:multiLevelType w:val="singleLevel"/>
    <w:tmpl w:val="8DAF53A9"/>
    <w:lvl w:ilvl="0" w:tentative="0">
      <w:start w:val="1"/>
      <w:numFmt w:val="chineseCounting"/>
      <w:suff w:val="nothing"/>
      <w:lvlText w:val="（%1）"/>
      <w:lvlJc w:val="left"/>
      <w:rPr>
        <w:rFonts w:hint="eastAsia"/>
      </w:rPr>
    </w:lvl>
  </w:abstractNum>
  <w:abstractNum w:abstractNumId="1">
    <w:nsid w:val="9FE83AA3"/>
    <w:multiLevelType w:val="singleLevel"/>
    <w:tmpl w:val="9FE83AA3"/>
    <w:lvl w:ilvl="0" w:tentative="0">
      <w:start w:val="2"/>
      <w:numFmt w:val="chineseCounting"/>
      <w:suff w:val="nothing"/>
      <w:lvlText w:val="（%1）"/>
      <w:lvlJc w:val="left"/>
      <w:rPr>
        <w:rFonts w:hint="eastAsia"/>
      </w:rPr>
    </w:lvl>
  </w:abstractNum>
  <w:abstractNum w:abstractNumId="2">
    <w:nsid w:val="AE7B3E5C"/>
    <w:multiLevelType w:val="singleLevel"/>
    <w:tmpl w:val="AE7B3E5C"/>
    <w:lvl w:ilvl="0" w:tentative="0">
      <w:start w:val="2"/>
      <w:numFmt w:val="decimal"/>
      <w:suff w:val="nothing"/>
      <w:lvlText w:val="（%1）"/>
      <w:lvlJc w:val="left"/>
    </w:lvl>
  </w:abstractNum>
  <w:abstractNum w:abstractNumId="3">
    <w:nsid w:val="5BFFF645"/>
    <w:multiLevelType w:val="singleLevel"/>
    <w:tmpl w:val="5BFFF645"/>
    <w:lvl w:ilvl="0" w:tentative="0">
      <w:start w:val="1"/>
      <w:numFmt w:val="chineseCounting"/>
      <w:suff w:val="nothing"/>
      <w:lvlText w:val="（%1）"/>
      <w:lvlJc w:val="left"/>
      <w:pPr>
        <w:ind w:left="-207" w:firstLine="600"/>
      </w:pPr>
      <w:rPr>
        <w:rFonts w:hint="eastAsia" w:ascii="宋体" w:hAnsi="宋体" w:eastAsia="宋体" w:cstheme="minorEastAsia"/>
        <w:color w:val="auto"/>
        <w:sz w:val="32"/>
        <w:szCs w:val="32"/>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944C6"/>
    <w:rsid w:val="09BD2FED"/>
    <w:rsid w:val="0A71382C"/>
    <w:rsid w:val="0AEA1189"/>
    <w:rsid w:val="13750182"/>
    <w:rsid w:val="19E14596"/>
    <w:rsid w:val="200F41A6"/>
    <w:rsid w:val="229F6F6E"/>
    <w:rsid w:val="27746F6F"/>
    <w:rsid w:val="28F944C6"/>
    <w:rsid w:val="2A3E4D86"/>
    <w:rsid w:val="32A058A2"/>
    <w:rsid w:val="3392223A"/>
    <w:rsid w:val="3DDD1F1E"/>
    <w:rsid w:val="43EC14F2"/>
    <w:rsid w:val="46926DCF"/>
    <w:rsid w:val="4B147A6B"/>
    <w:rsid w:val="4B2B752F"/>
    <w:rsid w:val="4E9847E6"/>
    <w:rsid w:val="4ECC6CF6"/>
    <w:rsid w:val="58B33511"/>
    <w:rsid w:val="5DE21881"/>
    <w:rsid w:val="5F9D7ACA"/>
    <w:rsid w:val="629923ED"/>
    <w:rsid w:val="648A7D4F"/>
    <w:rsid w:val="6773145F"/>
    <w:rsid w:val="6BFF0C15"/>
    <w:rsid w:val="6CF85E08"/>
    <w:rsid w:val="6E580C9C"/>
    <w:rsid w:val="7D9D5A30"/>
    <w:rsid w:val="7ECD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3777</Words>
  <Characters>5544</Characters>
  <Lines>0</Lines>
  <Paragraphs>0</Paragraphs>
  <TotalTime>87</TotalTime>
  <ScaleCrop>false</ScaleCrop>
  <LinksUpToDate>false</LinksUpToDate>
  <CharactersWithSpaces>5900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2024-12-23T07:36:00Z</dcterms:created>
  <dc:creator>阿麽</dc:creator>
  <cp:lastModifiedBy>鱼丸</cp:lastModifiedBy>
  <dcterms:modified xsi:type="dcterms:W3CDTF">2024-12-31T08:14:14Z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06DDD8D9B0734BDC819528E99202C4C9_11</vt:lpwstr>
  </property>
  <property fmtid="{D5CDD505-2E9C-101B-9397-08002B2CF9AE}" pid="4" name="KSOTemplateDocerSaveRecord">
    <vt:lpwstr>eyJoZGlkIjoiNzk2NGE3NzdiZTk2N2U1ZDdjMTdjOGJiY2I5OTExZWUiLCJ1c2VySWQiOiIyNTQ5NjU4MjAifQ==</vt:lpwstr>
  </property>
</Properties>
</file>