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center"/>
        <w:rPr>
          <w:rFonts w:ascii="黑体" w:hAnsi="黑体" w:eastAsia="黑体" w:cs="黑体"/>
          <w:b/>
          <w:bCs/>
          <w:sz w:val="52"/>
          <w:szCs w:val="52"/>
        </w:rPr>
      </w:pPr>
      <w:r>
        <w:rPr>
          <w:rFonts w:hint="eastAsia" w:ascii="黑体" w:hAnsi="黑体" w:eastAsia="黑体" w:cs="黑体"/>
          <w:b/>
          <w:bCs/>
          <w:sz w:val="52"/>
          <w:szCs w:val="52"/>
        </w:rPr>
        <w:t>环江毛南族自治县第二幼儿园</w:t>
      </w:r>
    </w:p>
    <w:p>
      <w:pPr>
        <w:jc w:val="center"/>
        <w:rPr>
          <w:rFonts w:ascii="黑体" w:hAnsi="黑体" w:eastAsia="黑体" w:cs="黑体"/>
          <w:b/>
          <w:bCs/>
          <w:sz w:val="52"/>
          <w:szCs w:val="52"/>
        </w:rPr>
      </w:pPr>
      <w:r>
        <w:rPr>
          <w:rFonts w:hint="eastAsia" w:ascii="黑体" w:hAnsi="黑体" w:eastAsia="黑体" w:cs="黑体"/>
          <w:b/>
          <w:bCs/>
          <w:sz w:val="52"/>
          <w:szCs w:val="52"/>
        </w:rPr>
        <w:t>2023年度部门决算</w:t>
      </w:r>
    </w:p>
    <w:p>
      <w:pPr>
        <w:jc w:val="center"/>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黑体" w:hAnsi="黑体" w:eastAsia="黑体" w:cs="仿宋"/>
          <w:sz w:val="36"/>
          <w:szCs w:val="36"/>
        </w:rPr>
      </w:pPr>
      <w:r>
        <w:rPr>
          <w:rFonts w:hint="eastAsia" w:ascii="仿宋" w:hAnsi="仿宋" w:eastAsia="仿宋" w:cs="仿宋"/>
          <w:sz w:val="32"/>
          <w:szCs w:val="32"/>
        </w:rPr>
        <w:t xml:space="preserve">                 </w:t>
      </w:r>
      <w:r>
        <w:rPr>
          <w:rFonts w:hint="eastAsia" w:ascii="仿宋" w:hAnsi="仿宋" w:eastAsia="仿宋" w:cs="仿宋"/>
          <w:sz w:val="36"/>
          <w:szCs w:val="36"/>
        </w:rPr>
        <w:t xml:space="preserve"> </w:t>
      </w:r>
      <w:r>
        <w:rPr>
          <w:rFonts w:hint="eastAsia" w:ascii="黑体" w:hAnsi="黑体" w:eastAsia="黑体" w:cs="仿宋"/>
          <w:sz w:val="36"/>
          <w:szCs w:val="36"/>
        </w:rPr>
        <w:t>单位负责人:黄琴</w:t>
      </w:r>
    </w:p>
    <w:p>
      <w:pPr>
        <w:jc w:val="center"/>
        <w:rPr>
          <w:rFonts w:ascii="黑体" w:hAnsi="黑体" w:eastAsia="黑体" w:cs="黑体"/>
          <w:b/>
          <w:bCs/>
          <w:sz w:val="36"/>
          <w:szCs w:val="36"/>
        </w:rPr>
      </w:pPr>
      <w:r>
        <w:rPr>
          <w:rFonts w:hint="eastAsia" w:ascii="黑体" w:hAnsi="黑体" w:eastAsia="黑体" w:cs="黑体"/>
          <w:b/>
          <w:bCs/>
          <w:sz w:val="36"/>
          <w:szCs w:val="36"/>
        </w:rPr>
        <w:t xml:space="preserve"> 2024年12月03日</w:t>
      </w:r>
    </w:p>
    <w:p>
      <w:pPr>
        <w:rPr>
          <w:rFonts w:ascii="仿宋" w:hAnsi="仿宋" w:eastAsia="仿宋" w:cs="仿宋"/>
          <w:sz w:val="32"/>
          <w:szCs w:val="32"/>
        </w:rPr>
      </w:pPr>
      <w:r>
        <w:rPr>
          <w:rFonts w:ascii="仿宋" w:hAnsi="仿宋" w:eastAsia="仿宋" w:cs="仿宋"/>
          <w:sz w:val="32"/>
          <w:szCs w:val="32"/>
        </w:rPr>
        <w:br w:type="page"/>
      </w:r>
    </w:p>
    <w:p>
      <w:pPr>
        <w:jc w:val="center"/>
        <w:rPr>
          <w:rFonts w:ascii="黑体" w:hAnsi="黑体" w:eastAsia="黑体" w:cs="黑体"/>
          <w:b/>
          <w:bCs/>
          <w:sz w:val="36"/>
          <w:szCs w:val="36"/>
        </w:rPr>
      </w:pPr>
      <w:r>
        <w:rPr>
          <w:rFonts w:hint="eastAsia" w:ascii="黑体" w:hAnsi="黑体" w:eastAsia="黑体" w:cs="黑体"/>
          <w:b/>
          <w:bCs/>
          <w:sz w:val="36"/>
          <w:szCs w:val="36"/>
        </w:rPr>
        <w:t>目   录</w:t>
      </w:r>
    </w:p>
    <w:p>
      <w:pPr>
        <w:jc w:val="left"/>
        <w:rPr>
          <w:rFonts w:ascii="黑体" w:hAnsi="黑体" w:eastAsia="黑体" w:cs="黑体"/>
          <w:b/>
          <w:bCs/>
          <w:sz w:val="36"/>
          <w:szCs w:val="36"/>
        </w:rPr>
      </w:pPr>
    </w:p>
    <w:p>
      <w:pPr>
        <w:jc w:val="left"/>
        <w:rPr>
          <w:rFonts w:ascii="仿宋" w:hAnsi="仿宋" w:eastAsia="仿宋" w:cs="仿宋"/>
          <w:sz w:val="32"/>
          <w:szCs w:val="32"/>
        </w:rPr>
      </w:pPr>
      <w:r>
        <w:rPr>
          <w:rFonts w:hint="eastAsia" w:ascii="黑体" w:hAnsi="黑体" w:eastAsia="黑体" w:cs="黑体"/>
          <w:sz w:val="32"/>
          <w:szCs w:val="32"/>
        </w:rPr>
        <w:t>第一部分：</w:t>
      </w:r>
      <w:r>
        <w:rPr>
          <w:rFonts w:ascii="黑体" w:hAnsi="黑体" w:eastAsia="黑体" w:cs="黑体"/>
          <w:sz w:val="32"/>
        </w:rPr>
        <w:t>环江毛南族自治县第二幼儿园</w:t>
      </w:r>
      <w:r>
        <w:rPr>
          <w:rFonts w:hint="eastAsia" w:ascii="黑体" w:hAnsi="黑体" w:eastAsia="黑体" w:cs="黑体"/>
          <w:sz w:val="32"/>
          <w:szCs w:val="32"/>
        </w:rPr>
        <w:t>概况</w:t>
      </w:r>
    </w:p>
    <w:p>
      <w:pPr>
        <w:jc w:val="left"/>
        <w:rPr>
          <w:rFonts w:ascii="仿宋" w:hAnsi="仿宋" w:eastAsia="仿宋" w:cs="仿宋"/>
          <w:sz w:val="32"/>
          <w:szCs w:val="32"/>
        </w:rPr>
      </w:pPr>
      <w:r>
        <w:rPr>
          <w:rFonts w:hint="eastAsia" w:ascii="仿宋" w:hAnsi="仿宋" w:eastAsia="仿宋" w:cs="仿宋"/>
          <w:sz w:val="32"/>
          <w:szCs w:val="32"/>
        </w:rPr>
        <w:t>一、本部门职责</w:t>
      </w:r>
    </w:p>
    <w:p>
      <w:pPr>
        <w:jc w:val="left"/>
        <w:rPr>
          <w:rFonts w:ascii="仿宋" w:hAnsi="仿宋" w:eastAsia="仿宋" w:cs="仿宋"/>
          <w:sz w:val="32"/>
          <w:szCs w:val="32"/>
        </w:rPr>
      </w:pPr>
      <w:r>
        <w:rPr>
          <w:rFonts w:hint="eastAsia" w:ascii="仿宋" w:hAnsi="仿宋" w:eastAsia="仿宋" w:cs="仿宋"/>
          <w:sz w:val="32"/>
          <w:szCs w:val="32"/>
        </w:rPr>
        <w:t>二、本部门机构设置情况</w:t>
      </w:r>
    </w:p>
    <w:p>
      <w:pPr>
        <w:jc w:val="left"/>
        <w:rPr>
          <w:rFonts w:ascii="黑体" w:hAnsi="黑体" w:eastAsia="黑体" w:cs="黑体"/>
          <w:sz w:val="32"/>
          <w:szCs w:val="32"/>
        </w:rPr>
      </w:pPr>
      <w:r>
        <w:rPr>
          <w:rFonts w:hint="eastAsia" w:ascii="黑体" w:hAnsi="黑体" w:eastAsia="黑体" w:cs="黑体"/>
          <w:sz w:val="32"/>
          <w:szCs w:val="32"/>
        </w:rPr>
        <w:t>第二部分：</w:t>
      </w:r>
      <w:r>
        <w:rPr>
          <w:rFonts w:ascii="黑体" w:hAnsi="黑体" w:eastAsia="黑体" w:cs="黑体"/>
          <w:sz w:val="32"/>
        </w:rPr>
        <w:t>环江毛南族自治县第二幼儿园</w:t>
      </w:r>
      <w:r>
        <w:rPr>
          <w:rFonts w:hint="eastAsia" w:ascii="黑体" w:hAnsi="黑体" w:eastAsia="黑体" w:cs="黑体"/>
          <w:sz w:val="32"/>
          <w:szCs w:val="32"/>
        </w:rPr>
        <w:t>2023年度部门决算报表</w:t>
      </w:r>
    </w:p>
    <w:p>
      <w:pPr>
        <w:rPr>
          <w:rFonts w:ascii="仿宋_GB2312" w:eastAsia="仿宋_GB2312"/>
          <w:sz w:val="32"/>
          <w:szCs w:val="32"/>
        </w:rPr>
      </w:pPr>
      <w:r>
        <w:rPr>
          <w:rFonts w:hint="eastAsia" w:ascii="仿宋_GB2312" w:eastAsia="仿宋_GB2312"/>
          <w:sz w:val="32"/>
          <w:szCs w:val="32"/>
        </w:rPr>
        <w:t>表一：收入支出决算总表</w:t>
      </w:r>
    </w:p>
    <w:p>
      <w:pPr>
        <w:rPr>
          <w:rFonts w:ascii="仿宋_GB2312" w:eastAsia="仿宋_GB2312"/>
          <w:sz w:val="32"/>
          <w:szCs w:val="32"/>
        </w:rPr>
      </w:pPr>
      <w:r>
        <w:rPr>
          <w:rFonts w:hint="eastAsia" w:ascii="仿宋_GB2312" w:eastAsia="仿宋_GB2312"/>
          <w:sz w:val="32"/>
          <w:szCs w:val="32"/>
        </w:rPr>
        <w:t>表二：收入决算表</w:t>
      </w:r>
    </w:p>
    <w:p>
      <w:pPr>
        <w:rPr>
          <w:rFonts w:ascii="仿宋_GB2312" w:eastAsia="仿宋_GB2312"/>
          <w:sz w:val="32"/>
          <w:szCs w:val="32"/>
        </w:rPr>
      </w:pPr>
      <w:r>
        <w:rPr>
          <w:rFonts w:hint="eastAsia" w:ascii="仿宋_GB2312" w:eastAsia="仿宋_GB2312"/>
          <w:sz w:val="32"/>
          <w:szCs w:val="32"/>
        </w:rPr>
        <w:t>表三：支出决算表</w:t>
      </w:r>
    </w:p>
    <w:p>
      <w:pPr>
        <w:rPr>
          <w:rFonts w:ascii="仿宋_GB2312" w:eastAsia="仿宋_GB2312"/>
          <w:sz w:val="32"/>
          <w:szCs w:val="32"/>
        </w:rPr>
      </w:pPr>
      <w:r>
        <w:rPr>
          <w:rFonts w:hint="eastAsia" w:ascii="仿宋_GB2312" w:eastAsia="仿宋_GB2312"/>
          <w:sz w:val="32"/>
          <w:szCs w:val="32"/>
        </w:rPr>
        <w:t>表四：财政拨款收入支出决算总表</w:t>
      </w:r>
    </w:p>
    <w:p>
      <w:pPr>
        <w:rPr>
          <w:rFonts w:ascii="仿宋_GB2312" w:eastAsia="仿宋_GB2312"/>
          <w:sz w:val="32"/>
          <w:szCs w:val="32"/>
        </w:rPr>
      </w:pPr>
      <w:r>
        <w:rPr>
          <w:rFonts w:hint="eastAsia" w:ascii="仿宋_GB2312" w:eastAsia="仿宋_GB2312"/>
          <w:sz w:val="32"/>
          <w:szCs w:val="32"/>
        </w:rPr>
        <w:t>表五：一般公共预算财政拨款支出决算表</w:t>
      </w:r>
    </w:p>
    <w:p>
      <w:pPr>
        <w:rPr>
          <w:rFonts w:ascii="仿宋_GB2312" w:eastAsia="仿宋_GB2312"/>
          <w:sz w:val="32"/>
          <w:szCs w:val="32"/>
        </w:rPr>
      </w:pPr>
      <w:r>
        <w:rPr>
          <w:rFonts w:hint="eastAsia" w:ascii="仿宋_GB2312" w:eastAsia="仿宋_GB2312"/>
          <w:sz w:val="32"/>
          <w:szCs w:val="32"/>
        </w:rPr>
        <w:t>表六：一般公共预算财政拨款基本支出决算明细表</w:t>
      </w:r>
    </w:p>
    <w:p>
      <w:pPr>
        <w:rPr>
          <w:rFonts w:ascii="仿宋_GB2312" w:eastAsia="仿宋_GB2312"/>
          <w:sz w:val="32"/>
          <w:szCs w:val="32"/>
        </w:rPr>
      </w:pPr>
      <w:r>
        <w:rPr>
          <w:rFonts w:hint="eastAsia" w:ascii="仿宋_GB2312" w:eastAsia="仿宋_GB2312"/>
          <w:sz w:val="32"/>
          <w:szCs w:val="32"/>
        </w:rPr>
        <w:t>表七：政府性基金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rPr>
          <w:rFonts w:ascii="仿宋_GB2312" w:eastAsia="仿宋_GB2312"/>
          <w:sz w:val="32"/>
          <w:szCs w:val="32"/>
        </w:rPr>
      </w:pPr>
      <w:r>
        <w:rPr>
          <w:rFonts w:hint="eastAsia" w:ascii="仿宋_GB2312" w:eastAsia="仿宋_GB2312"/>
          <w:sz w:val="32"/>
          <w:szCs w:val="32"/>
        </w:rPr>
        <w:t>表八：国有资本经营预算</w:t>
      </w:r>
      <w:r>
        <w:rPr>
          <w:rFonts w:hint="eastAsia" w:ascii="仿宋_GB2312" w:hAnsi="黑体" w:eastAsia="仿宋_GB2312"/>
          <w:sz w:val="32"/>
          <w:szCs w:val="32"/>
        </w:rPr>
        <w:t>财政拨款</w:t>
      </w:r>
      <w:r>
        <w:rPr>
          <w:rFonts w:hint="eastAsia" w:ascii="仿宋_GB2312" w:eastAsia="仿宋_GB2312"/>
          <w:sz w:val="32"/>
          <w:szCs w:val="32"/>
        </w:rPr>
        <w:t>支出决算表</w:t>
      </w:r>
    </w:p>
    <w:p>
      <w:pPr>
        <w:rPr>
          <w:rFonts w:ascii="仿宋_GB2312" w:eastAsia="仿宋_GB2312"/>
          <w:sz w:val="32"/>
          <w:szCs w:val="32"/>
        </w:rPr>
      </w:pPr>
      <w:r>
        <w:rPr>
          <w:rFonts w:hint="eastAsia" w:ascii="仿宋_GB2312" w:eastAsia="仿宋_GB2312"/>
          <w:sz w:val="32"/>
          <w:szCs w:val="32"/>
        </w:rPr>
        <w:t>表九：财政拨款安排的“三公”经费支出决算表</w:t>
      </w:r>
    </w:p>
    <w:p>
      <w:pPr>
        <w:jc w:val="left"/>
        <w:rPr>
          <w:rFonts w:ascii="仿宋" w:hAnsi="仿宋" w:eastAsia="仿宋" w:cs="仿宋"/>
          <w:sz w:val="32"/>
          <w:szCs w:val="32"/>
        </w:rPr>
      </w:pPr>
      <w:r>
        <w:rPr>
          <w:rFonts w:hint="eastAsia" w:ascii="黑体" w:hAnsi="黑体" w:eastAsia="黑体" w:cs="黑体"/>
          <w:sz w:val="32"/>
          <w:szCs w:val="32"/>
        </w:rPr>
        <w:t>第三部分：</w:t>
      </w:r>
      <w:r>
        <w:rPr>
          <w:rFonts w:ascii="黑体" w:hAnsi="黑体" w:eastAsia="黑体" w:cs="黑体"/>
          <w:sz w:val="32"/>
        </w:rPr>
        <w:t>环江毛南族自治县第二幼儿园</w:t>
      </w:r>
      <w:r>
        <w:rPr>
          <w:rFonts w:hint="eastAsia" w:ascii="黑体" w:hAnsi="黑体" w:eastAsia="黑体" w:cs="黑体"/>
          <w:sz w:val="32"/>
          <w:szCs w:val="32"/>
        </w:rPr>
        <w:t>2023年度部门决算情况说明</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rPr>
        <w:t>2023年</w:t>
      </w:r>
      <w:r>
        <w:rPr>
          <w:rFonts w:hint="eastAsia" w:ascii="仿宋_GB2312" w:eastAsia="仿宋_GB2312" w:cs="仿宋_GB2312"/>
          <w:kern w:val="0"/>
          <w:sz w:val="32"/>
          <w:szCs w:val="32"/>
        </w:rPr>
        <w:t>度收入支出决算总体情况。</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rPr>
        <w:t>2023年</w:t>
      </w:r>
      <w:r>
        <w:rPr>
          <w:rFonts w:hint="eastAsia" w:ascii="仿宋_GB2312" w:eastAsia="仿宋_GB2312" w:cs="仿宋_GB2312"/>
          <w:kern w:val="0"/>
          <w:sz w:val="32"/>
          <w:szCs w:val="32"/>
        </w:rPr>
        <w:t>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三、2023年度一般公共预算财政拨款基本支出决算情况说明。</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rPr>
        <w:t>2023年</w:t>
      </w:r>
      <w:r>
        <w:rPr>
          <w:rFonts w:hint="eastAsia" w:ascii="仿宋_GB2312" w:eastAsia="仿宋_GB2312" w:cs="仿宋_GB2312"/>
          <w:kern w:val="0"/>
          <w:sz w:val="32"/>
          <w:szCs w:val="32"/>
        </w:rPr>
        <w:t>度政府性基金支出决算情况。</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五、2023年度国有资本经营预算支出决算情况。</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六、财政拨款安排的“三公”经费支出决算情况说明。</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jc w:val="left"/>
        <w:rPr>
          <w:rFonts w:ascii="仿宋_GB2312" w:eastAsia="仿宋_GB2312" w:cs="仿宋_GB2312"/>
          <w:kern w:val="0"/>
          <w:sz w:val="32"/>
          <w:szCs w:val="32"/>
        </w:rPr>
      </w:pPr>
      <w:r>
        <w:rPr>
          <w:rFonts w:ascii="仿宋_GB2312" w:eastAsia="仿宋_GB2312" w:cs="仿宋_GB2312"/>
          <w:kern w:val="0"/>
          <w:sz w:val="32"/>
          <w:szCs w:val="32"/>
        </w:rPr>
        <w:t>八、预算绩效管理工作开展情况</w:t>
      </w:r>
      <w:r>
        <w:rPr>
          <w:rFonts w:hint="eastAsia" w:ascii="仿宋_GB2312" w:eastAsia="仿宋_GB2312" w:cs="仿宋_GB2312"/>
          <w:kern w:val="0"/>
          <w:sz w:val="32"/>
          <w:szCs w:val="32"/>
        </w:rPr>
        <w:t>。</w:t>
      </w:r>
    </w:p>
    <w:p>
      <w:pPr>
        <w:jc w:val="left"/>
        <w:rPr>
          <w:rFonts w:ascii="黑体" w:hAnsi="黑体" w:eastAsia="黑体" w:cs="黑体"/>
          <w:sz w:val="32"/>
          <w:szCs w:val="32"/>
        </w:rPr>
      </w:pPr>
      <w:r>
        <w:rPr>
          <w:rFonts w:hint="eastAsia" w:ascii="黑体" w:hAnsi="黑体" w:eastAsia="黑体" w:cs="黑体"/>
          <w:sz w:val="32"/>
          <w:szCs w:val="32"/>
        </w:rPr>
        <w:t>第四部分：名词解释</w:t>
      </w:r>
    </w:p>
    <w:p>
      <w:pPr>
        <w:jc w:val="left"/>
        <w:rPr>
          <w:rFonts w:ascii="黑体" w:hAnsi="黑体" w:eastAsia="黑体" w:cs="黑体"/>
          <w:sz w:val="32"/>
          <w:szCs w:val="32"/>
        </w:rPr>
      </w:pPr>
      <w:r>
        <w:rPr>
          <w:rFonts w:hint="eastAsia" w:ascii="黑体" w:hAnsi="黑体" w:eastAsia="黑体" w:cs="黑体"/>
          <w:sz w:val="32"/>
          <w:szCs w:val="32"/>
        </w:rPr>
        <w:br w:type="page"/>
      </w:r>
    </w:p>
    <w:p>
      <w:pPr>
        <w:jc w:val="center"/>
        <w:rPr>
          <w:rFonts w:ascii="仿宋" w:hAnsi="仿宋" w:eastAsia="仿宋" w:cs="仿宋"/>
          <w:sz w:val="32"/>
          <w:szCs w:val="32"/>
        </w:rPr>
      </w:pPr>
      <w:r>
        <w:rPr>
          <w:rFonts w:hint="eastAsia" w:ascii="黑体" w:hAnsi="黑体" w:eastAsia="黑体" w:cs="黑体"/>
          <w:b/>
          <w:bCs/>
          <w:sz w:val="32"/>
          <w:szCs w:val="32"/>
        </w:rPr>
        <w:t>第一部分：</w:t>
      </w:r>
      <w:r>
        <w:rPr>
          <w:rFonts w:ascii="黑体" w:hAnsi="黑体" w:eastAsia="黑体" w:cs="黑体"/>
          <w:b/>
          <w:sz w:val="32"/>
        </w:rPr>
        <w:t>环江毛南族自治县第二幼儿园</w:t>
      </w:r>
      <w:r>
        <w:rPr>
          <w:rFonts w:hint="eastAsia" w:ascii="黑体" w:hAnsi="黑体" w:eastAsia="黑体" w:cs="黑体"/>
          <w:b/>
          <w:bCs/>
          <w:sz w:val="32"/>
          <w:szCs w:val="32"/>
        </w:rPr>
        <w:t>概况</w:t>
      </w:r>
    </w:p>
    <w:p>
      <w:pPr>
        <w:jc w:val="left"/>
        <w:rPr>
          <w:rFonts w:ascii="仿宋" w:hAnsi="仿宋" w:eastAsia="仿宋" w:cs="仿宋"/>
          <w:sz w:val="32"/>
          <w:szCs w:val="32"/>
        </w:rPr>
      </w:pPr>
      <w:r>
        <w:rPr>
          <w:rFonts w:hint="eastAsia" w:ascii="黑体" w:hAnsi="黑体" w:eastAsia="黑体" w:cs="黑体"/>
          <w:sz w:val="32"/>
          <w:szCs w:val="32"/>
        </w:rPr>
        <w:t>一、本部门职责</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一、环江毛南族自治县第二幼儿园的主要职责是:</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（一）贯彻执行党和国家的教育方针、政策和法律法规；拟订全园教育改革与发展规划并组织实施。</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（二）编制本园教育事业发展规划并检查实施情况，向自治县人民政府和上级教育部门作报告。</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（三）督促检查全园贯彻执行教育方针、政策、法令、法规和上级的各项规定；评估指导全园教育教学工作。</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（四）负责推进幼儿教育均衡发展和促进教育公平。</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（五）负责全园人才队伍和教师队伍建设，包括园长岗位培训、后备干部队伍建设、教师学历教育、继续教育等。</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（六）负责组织全园做好学籍管理工作。</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（七）按照中央关于全面推进素质教育要求，负责教育教学管理、教育教学改革及教育教学科学研究工作，检查指导全园实施素质教育工作，并组织推广先进的教育教学经验。</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（八）检查指导学校教育教学设备的装备、管理和使用工作。</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（九）检查指导全园开展电化教育和信息化教学工作。</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（十）负责全园教师初级专业技术职务资格的评审，中、高级专业技术职务资格的申报工作。按照管理权限对教师进行考核、聘任、奖惩、晋升等工作。</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（十一）负责监督审计全园教育经费和教育基建经费拨付及教育附加费和教育费附加的征收、管理与使用工作。</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（十二）负责指导全园学生资助管理工作。</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（十三）负责语言文字和指导推广普通话工作。</w:t>
      </w:r>
    </w:p>
    <w:p>
      <w:pPr>
        <w:ind w:firstLine="640" w:firstLineChars="200"/>
        <w:jc w:val="left"/>
        <w:rPr>
          <w:rFonts w:ascii="仿宋" w:hAnsi="仿宋" w:eastAsia="仿宋" w:cs="仿宋"/>
          <w:sz w:val="32"/>
          <w:szCs w:val="32"/>
        </w:rPr>
      </w:pPr>
      <w:r>
        <w:rPr>
          <w:rFonts w:hint="eastAsia" w:ascii="Times New Roman" w:hAnsi="Times New Roman" w:eastAsia="仿宋_GB2312" w:cs="Times New Roman"/>
          <w:sz w:val="32"/>
          <w:szCs w:val="32"/>
        </w:rPr>
        <w:t>（十四）完成上级部门交办的其他工作。</w:t>
      </w:r>
    </w:p>
    <w:p>
      <w:pPr>
        <w:jc w:val="left"/>
        <w:rPr>
          <w:rFonts w:ascii="仿宋" w:hAnsi="仿宋" w:eastAsia="仿宋" w:cs="仿宋"/>
          <w:sz w:val="32"/>
          <w:szCs w:val="32"/>
        </w:rPr>
      </w:pPr>
      <w:r>
        <w:rPr>
          <w:rFonts w:hint="eastAsia" w:ascii="黑体" w:hAnsi="黑体" w:eastAsia="黑体" w:cs="黑体"/>
          <w:sz w:val="32"/>
          <w:szCs w:val="32"/>
        </w:rPr>
        <w:t>二、本部门机构设置情况</w:t>
      </w:r>
    </w:p>
    <w:p>
      <w:pPr>
        <w:ind w:firstLine="640" w:firstLineChars="200"/>
        <w:jc w:val="left"/>
        <w:rPr>
          <w:rFonts w:ascii="仿宋" w:hAnsi="仿宋" w:eastAsia="仿宋" w:cs="仿宋"/>
          <w:sz w:val="32"/>
          <w:szCs w:val="32"/>
        </w:rPr>
      </w:pPr>
      <w:r>
        <w:rPr>
          <w:rFonts w:hint="eastAsia" w:ascii="Times New Roman" w:hAnsi="Times New Roman" w:eastAsia="仿宋_GB2312" w:cs="Times New Roman"/>
          <w:sz w:val="32"/>
          <w:szCs w:val="32"/>
        </w:rPr>
        <w:t>环江毛南族自治县第二幼儿园有四个内设机构，分别为：行政办公室、保教室、财务室、安全办。共有34名编制，其中8名实名制编制，26名教师控制数编制，单位自聘教职工46名，2名保安。</w:t>
      </w:r>
    </w:p>
    <w:p>
      <w:pPr>
        <w:spacing w:line="560" w:lineRule="exact"/>
        <w:ind w:firstLine="645"/>
        <w:rPr>
          <w:rFonts w:ascii="Times New Roman" w:hAnsi="Times New Roman" w:eastAsia="方正小标宋简体" w:cs="Times New Roman"/>
          <w:bCs/>
          <w:sz w:val="44"/>
          <w:szCs w:val="44"/>
        </w:rPr>
      </w:pPr>
    </w:p>
    <w:p>
      <w:pPr>
        <w:jc w:val="center"/>
        <w:rPr>
          <w:rFonts w:ascii="仿宋" w:hAnsi="仿宋" w:eastAsia="仿宋" w:cs="仿宋"/>
          <w:sz w:val="32"/>
          <w:szCs w:val="32"/>
        </w:rPr>
      </w:pPr>
    </w:p>
    <w:p>
      <w:pPr>
        <w:rPr>
          <w:rFonts w:ascii="黑体" w:hAnsi="黑体" w:eastAsia="黑体" w:cs="黑体"/>
          <w:sz w:val="32"/>
          <w:szCs w:val="32"/>
        </w:rPr>
        <w:sectPr>
          <w:pgSz w:w="11906" w:h="16838"/>
          <w:pgMar w:top="1440" w:right="1800" w:bottom="1440" w:left="1800" w:header="851" w:footer="992" w:gutter="0"/>
          <w:cols w:space="425" w:num="1"/>
          <w:docGrid w:type="lines" w:linePitch="312" w:charSpace="0"/>
        </w:sectPr>
      </w:pPr>
    </w:p>
    <w:p>
      <w:pPr>
        <w:ind w:firstLine="1600" w:firstLineChars="500"/>
        <w:rPr>
          <w:rFonts w:ascii="黑体" w:hAnsi="黑体" w:eastAsia="黑体" w:cs="黑体"/>
          <w:sz w:val="32"/>
          <w:szCs w:val="32"/>
        </w:rPr>
      </w:pPr>
      <w:r>
        <w:rPr>
          <w:rFonts w:hint="eastAsia" w:ascii="黑体" w:hAnsi="黑体" w:eastAsia="黑体" w:cs="黑体"/>
          <w:sz w:val="32"/>
          <w:szCs w:val="32"/>
        </w:rPr>
        <w:t>第二部分：</w:t>
      </w:r>
      <w:r>
        <w:rPr>
          <w:rFonts w:ascii="黑体" w:hAnsi="黑体" w:eastAsia="黑体" w:cs="黑体"/>
          <w:sz w:val="32"/>
        </w:rPr>
        <w:t>环江毛南族自治县第二幼儿园</w:t>
      </w:r>
      <w:r>
        <w:rPr>
          <w:rFonts w:hint="eastAsia" w:ascii="黑体" w:hAnsi="黑体" w:eastAsia="黑体" w:cs="黑体"/>
          <w:sz w:val="32"/>
          <w:szCs w:val="32"/>
        </w:rPr>
        <w:t>2023年度部门决算报表</w:t>
      </w:r>
    </w:p>
    <w:tbl>
      <w:tblPr>
        <w:tblStyle w:val="7"/>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jc w:val="left"/>
              <w:rPr>
                <w:rFonts w:ascii="仿宋" w:hAnsi="仿宋" w:eastAsia="仿宋" w:cs="仿宋"/>
                <w:sz w:val="24"/>
              </w:rPr>
            </w:pPr>
            <w:r>
              <w:rPr>
                <w:rFonts w:hint="eastAsia" w:ascii="仿宋" w:hAnsi="仿宋" w:eastAsia="仿宋" w:cs="仿宋"/>
                <w:sz w:val="24"/>
              </w:rPr>
              <w:t>表一：收入支出决算总表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39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231"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669"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202"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902"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r>
              <w:rPr>
                <w:rFonts w:hint="eastAsia" w:ascii="宋体" w:hAnsi="宋体" w:eastAsia="宋体" w:cs="宋体"/>
                <w:color w:val="000000"/>
                <w:kern w:val="0"/>
                <w:sz w:val="20"/>
                <w:szCs w:val="20"/>
              </w:rPr>
              <w:t>部门：</w:t>
            </w:r>
            <w:r>
              <w:rPr>
                <w:rFonts w:ascii="宋体" w:hAnsi="宋体" w:eastAsia="宋体" w:cs="宋体"/>
                <w:color w:val="000000"/>
                <w:sz w:val="20"/>
              </w:rPr>
              <w:t>环江毛南族自治县第二幼儿园</w:t>
            </w:r>
          </w:p>
        </w:tc>
        <w:tc>
          <w:tcPr>
            <w:tcW w:w="2669" w:type="dxa"/>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2202" w:type="dxa"/>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1902" w:type="dxa"/>
            <w:tcBorders>
              <w:top w:val="nil"/>
              <w:left w:val="nil"/>
              <w:bottom w:val="single" w:color="auto" w:sz="4" w:space="0"/>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523.24</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4.45</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431.69</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31.80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23.12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32.18</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523.24</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523.24</w:t>
            </w:r>
          </w:p>
        </w:tc>
      </w:tr>
      <w:tr>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523.24</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523.24</w:t>
            </w:r>
          </w:p>
        </w:tc>
      </w:tr>
    </w:tbl>
    <w:p>
      <w:pPr>
        <w:rPr>
          <w:rFonts w:ascii="宋体" w:hAnsi="宋体" w:eastAsia="宋体" w:cs="宋体"/>
          <w:color w:val="000000"/>
          <w:kern w:val="0"/>
          <w:sz w:val="30"/>
          <w:szCs w:val="30"/>
        </w:rPr>
      </w:pPr>
      <w:r>
        <w:rPr>
          <w:rFonts w:hint="eastAsia" w:ascii="宋体" w:hAnsi="宋体" w:eastAsia="宋体" w:cs="宋体"/>
          <w:color w:val="000000"/>
          <w:kern w:val="0"/>
          <w:sz w:val="30"/>
          <w:szCs w:val="30"/>
        </w:rPr>
        <w:br w:type="page"/>
      </w:r>
    </w:p>
    <w:tbl>
      <w:tblPr>
        <w:tblStyle w:val="7"/>
        <w:tblW w:w="14894" w:type="dxa"/>
        <w:tblInd w:w="93" w:type="dxa"/>
        <w:tblLayout w:type="fixed"/>
        <w:tblCellMar>
          <w:top w:w="0" w:type="dxa"/>
          <w:left w:w="108" w:type="dxa"/>
          <w:bottom w:w="0" w:type="dxa"/>
          <w:right w:w="108" w:type="dxa"/>
        </w:tblCellMar>
      </w:tblPr>
      <w:tblGrid>
        <w:gridCol w:w="1889"/>
        <w:gridCol w:w="1071"/>
        <w:gridCol w:w="236"/>
        <w:gridCol w:w="236"/>
        <w:gridCol w:w="523"/>
        <w:gridCol w:w="255"/>
        <w:gridCol w:w="1265"/>
        <w:gridCol w:w="431"/>
        <w:gridCol w:w="1022"/>
        <w:gridCol w:w="1009"/>
        <w:gridCol w:w="364"/>
        <w:gridCol w:w="1228"/>
        <w:gridCol w:w="239"/>
        <w:gridCol w:w="984"/>
        <w:gridCol w:w="496"/>
        <w:gridCol w:w="773"/>
        <w:gridCol w:w="1477"/>
        <w:gridCol w:w="1350"/>
        <w:gridCol w:w="46"/>
      </w:tblGrid>
      <w:tr>
        <w:tblPrEx>
          <w:tblCellMar>
            <w:top w:w="0" w:type="dxa"/>
            <w:left w:w="108" w:type="dxa"/>
            <w:bottom w:w="0" w:type="dxa"/>
            <w:right w:w="108" w:type="dxa"/>
          </w:tblCellMar>
        </w:tblPrEx>
        <w:trPr>
          <w:trHeight w:val="951" w:hRule="atLeast"/>
        </w:trPr>
        <w:tc>
          <w:tcPr>
            <w:tcW w:w="14894" w:type="dxa"/>
            <w:gridSpan w:val="19"/>
            <w:tcBorders>
              <w:top w:val="nil"/>
              <w:left w:val="nil"/>
              <w:bottom w:val="nil"/>
              <w:right w:val="nil"/>
            </w:tcBorders>
            <w:shd w:val="clear" w:color="auto" w:fill="auto"/>
            <w:noWrap/>
            <w:vAlign w:val="bottom"/>
          </w:tcPr>
          <w:p>
            <w:pPr>
              <w:jc w:val="left"/>
              <w:rPr>
                <w:rFonts w:ascii="仿宋" w:hAnsi="仿宋" w:eastAsia="仿宋" w:cs="仿宋"/>
                <w:sz w:val="24"/>
              </w:rPr>
            </w:pPr>
            <w:r>
              <w:rPr>
                <w:rFonts w:hint="eastAsia" w:ascii="仿宋" w:hAnsi="仿宋" w:eastAsia="仿宋" w:cs="仿宋"/>
                <w:sz w:val="24"/>
              </w:rPr>
              <w:t>表二：收入决算表</w:t>
            </w:r>
          </w:p>
          <w:p>
            <w:pPr>
              <w:widowControl/>
              <w:ind w:firstLine="7680" w:firstLineChars="2400"/>
              <w:textAlignment w:val="bottom"/>
              <w:rPr>
                <w:rFonts w:ascii="宋体" w:hAnsi="宋体" w:eastAsia="宋体" w:cs="宋体"/>
                <w:color w:val="000000"/>
                <w:sz w:val="30"/>
                <w:szCs w:val="30"/>
              </w:rPr>
            </w:pPr>
            <w:r>
              <w:rPr>
                <w:rFonts w:hint="eastAsia" w:ascii="宋体" w:hAnsi="宋体" w:eastAsia="宋体" w:cs="宋体"/>
                <w:color w:val="000000"/>
                <w:kern w:val="0"/>
                <w:sz w:val="32"/>
                <w:szCs w:val="32"/>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36"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36"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524"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520"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453"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373"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467"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480"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643" w:type="dxa"/>
            <w:gridSpan w:val="4"/>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公开02表</w:t>
            </w:r>
          </w:p>
        </w:tc>
      </w:tr>
      <w:tr>
        <w:tblPrEx>
          <w:tblCellMar>
            <w:top w:w="0" w:type="dxa"/>
            <w:left w:w="108" w:type="dxa"/>
            <w:bottom w:w="0" w:type="dxa"/>
            <w:right w:w="108" w:type="dxa"/>
          </w:tblCellMar>
        </w:tblPrEx>
        <w:trPr>
          <w:trHeight w:val="317" w:hRule="atLeast"/>
        </w:trPr>
        <w:tc>
          <w:tcPr>
            <w:tcW w:w="6931" w:type="dxa"/>
            <w:gridSpan w:val="9"/>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r>
              <w:rPr>
                <w:rFonts w:hint="eastAsia" w:ascii="宋体" w:hAnsi="宋体" w:eastAsia="宋体" w:cs="宋体"/>
                <w:color w:val="000000"/>
                <w:kern w:val="0"/>
                <w:sz w:val="20"/>
                <w:szCs w:val="20"/>
              </w:rPr>
              <w:t>部门：</w:t>
            </w:r>
            <w:r>
              <w:rPr>
                <w:rFonts w:ascii="宋体" w:hAnsi="宋体" w:eastAsia="宋体" w:cs="宋体"/>
                <w:color w:val="000000"/>
                <w:sz w:val="20"/>
              </w:rPr>
              <w:t>环江毛南族自治县第二幼儿园</w:t>
            </w:r>
          </w:p>
        </w:tc>
        <w:tc>
          <w:tcPr>
            <w:tcW w:w="1373" w:type="dxa"/>
            <w:gridSpan w:val="2"/>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1467" w:type="dxa"/>
            <w:gridSpan w:val="2"/>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1480" w:type="dxa"/>
            <w:gridSpan w:val="2"/>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3643" w:type="dxa"/>
            <w:gridSpan w:val="4"/>
            <w:tcBorders>
              <w:top w:val="nil"/>
              <w:left w:val="nil"/>
              <w:bottom w:val="single" w:color="auto" w:sz="4" w:space="0"/>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108" w:type="dxa"/>
            <w:bottom w:w="0" w:type="dxa"/>
            <w:right w:w="108" w:type="dxa"/>
          </w:tblCellMar>
        </w:tblPrEx>
        <w:trPr>
          <w:gridAfter w:val="1"/>
          <w:wAfter w:w="46" w:type="dxa"/>
          <w:trHeight w:val="560" w:hRule="atLeast"/>
        </w:trPr>
        <w:tc>
          <w:tcPr>
            <w:tcW w:w="4213" w:type="dxa"/>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w:t>
            </w:r>
          </w:p>
        </w:tc>
        <w:tc>
          <w:tcPr>
            <w:tcW w:w="1696"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本年收入合计</w:t>
            </w:r>
          </w:p>
        </w:tc>
        <w:tc>
          <w:tcPr>
            <w:tcW w:w="2031"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财政拨款收入</w:t>
            </w:r>
          </w:p>
        </w:tc>
        <w:tc>
          <w:tcPr>
            <w:tcW w:w="1592"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上级补助收入</w:t>
            </w:r>
          </w:p>
        </w:tc>
        <w:tc>
          <w:tcPr>
            <w:tcW w:w="1223"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事业收入</w:t>
            </w:r>
          </w:p>
        </w:tc>
        <w:tc>
          <w:tcPr>
            <w:tcW w:w="1269"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经营收入</w:t>
            </w:r>
          </w:p>
        </w:tc>
        <w:tc>
          <w:tcPr>
            <w:tcW w:w="1477"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附属单位上缴收入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其他收入</w:t>
            </w:r>
          </w:p>
        </w:tc>
      </w:tr>
      <w:tr>
        <w:tblPrEx>
          <w:tblCellMar>
            <w:top w:w="0" w:type="dxa"/>
            <w:left w:w="108" w:type="dxa"/>
            <w:bottom w:w="0" w:type="dxa"/>
            <w:right w:w="108" w:type="dxa"/>
          </w:tblCellMar>
        </w:tblPrEx>
        <w:trPr>
          <w:gridAfter w:val="1"/>
          <w:wAfter w:w="46" w:type="dxa"/>
          <w:trHeight w:val="560" w:hRule="atLeast"/>
        </w:trPr>
        <w:tc>
          <w:tcPr>
            <w:tcW w:w="189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科目代码</w:t>
            </w:r>
          </w:p>
        </w:tc>
        <w:tc>
          <w:tcPr>
            <w:tcW w:w="2323" w:type="dxa"/>
            <w:gridSpan w:val="5"/>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科目名称</w:t>
            </w:r>
          </w:p>
        </w:tc>
        <w:tc>
          <w:tcPr>
            <w:tcW w:w="1696"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ascii="宋体" w:hAnsi="宋体" w:eastAsia="宋体" w:cs="宋体"/>
                <w:color w:val="000000"/>
                <w:sz w:val="22"/>
                <w:szCs w:val="22"/>
              </w:rPr>
            </w:pPr>
          </w:p>
        </w:tc>
        <w:tc>
          <w:tcPr>
            <w:tcW w:w="2031"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ascii="宋体" w:hAnsi="宋体" w:eastAsia="宋体" w:cs="宋体"/>
                <w:color w:val="000000"/>
                <w:sz w:val="22"/>
                <w:szCs w:val="22"/>
              </w:rPr>
            </w:pPr>
          </w:p>
        </w:tc>
        <w:tc>
          <w:tcPr>
            <w:tcW w:w="1592"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ascii="宋体" w:hAnsi="宋体" w:eastAsia="宋体" w:cs="宋体"/>
                <w:color w:val="000000"/>
                <w:sz w:val="22"/>
                <w:szCs w:val="22"/>
              </w:rPr>
            </w:pPr>
          </w:p>
        </w:tc>
        <w:tc>
          <w:tcPr>
            <w:tcW w:w="1223"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ascii="宋体" w:hAnsi="宋体" w:eastAsia="宋体" w:cs="宋体"/>
                <w:color w:val="000000"/>
                <w:sz w:val="22"/>
                <w:szCs w:val="22"/>
              </w:rPr>
            </w:pPr>
          </w:p>
        </w:tc>
        <w:tc>
          <w:tcPr>
            <w:tcW w:w="1269"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ascii="宋体" w:hAnsi="宋体" w:eastAsia="宋体" w:cs="宋体"/>
                <w:color w:val="000000"/>
                <w:sz w:val="22"/>
                <w:szCs w:val="22"/>
              </w:rPr>
            </w:pPr>
          </w:p>
        </w:tc>
        <w:tc>
          <w:tcPr>
            <w:tcW w:w="147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ascii="宋体" w:hAnsi="宋体" w:eastAsia="宋体" w:cs="宋体"/>
                <w:color w:val="000000"/>
                <w:sz w:val="22"/>
                <w:szCs w:val="22"/>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gridAfter w:val="1"/>
          <w:wAfter w:w="46" w:type="dxa"/>
          <w:trHeight w:val="560" w:hRule="atLeast"/>
        </w:trPr>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ascii="宋体" w:hAnsi="宋体" w:eastAsia="宋体" w:cs="宋体"/>
                <w:color w:val="000000"/>
                <w:sz w:val="22"/>
                <w:szCs w:val="22"/>
              </w:rPr>
            </w:pPr>
          </w:p>
        </w:tc>
        <w:tc>
          <w:tcPr>
            <w:tcW w:w="2323" w:type="dxa"/>
            <w:gridSpan w:val="5"/>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ascii="宋体" w:hAnsi="宋体" w:eastAsia="宋体" w:cs="宋体"/>
                <w:color w:val="000000"/>
                <w:sz w:val="22"/>
                <w:szCs w:val="22"/>
              </w:rPr>
            </w:pPr>
          </w:p>
        </w:tc>
        <w:tc>
          <w:tcPr>
            <w:tcW w:w="1696"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ascii="宋体" w:hAnsi="宋体" w:eastAsia="宋体" w:cs="宋体"/>
                <w:color w:val="000000"/>
                <w:sz w:val="22"/>
                <w:szCs w:val="22"/>
              </w:rPr>
            </w:pPr>
          </w:p>
        </w:tc>
        <w:tc>
          <w:tcPr>
            <w:tcW w:w="2031"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ascii="宋体" w:hAnsi="宋体" w:eastAsia="宋体" w:cs="宋体"/>
                <w:color w:val="000000"/>
                <w:sz w:val="22"/>
                <w:szCs w:val="22"/>
              </w:rPr>
            </w:pPr>
          </w:p>
        </w:tc>
        <w:tc>
          <w:tcPr>
            <w:tcW w:w="1592"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ascii="宋体" w:hAnsi="宋体" w:eastAsia="宋体" w:cs="宋体"/>
                <w:color w:val="000000"/>
                <w:sz w:val="22"/>
                <w:szCs w:val="22"/>
              </w:rPr>
            </w:pPr>
          </w:p>
        </w:tc>
        <w:tc>
          <w:tcPr>
            <w:tcW w:w="1223"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ascii="宋体" w:hAnsi="宋体" w:eastAsia="宋体" w:cs="宋体"/>
                <w:color w:val="000000"/>
                <w:sz w:val="22"/>
                <w:szCs w:val="22"/>
              </w:rPr>
            </w:pPr>
          </w:p>
        </w:tc>
        <w:tc>
          <w:tcPr>
            <w:tcW w:w="1269"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ascii="宋体" w:hAnsi="宋体" w:eastAsia="宋体" w:cs="宋体"/>
                <w:color w:val="000000"/>
                <w:sz w:val="22"/>
                <w:szCs w:val="22"/>
              </w:rPr>
            </w:pPr>
          </w:p>
        </w:tc>
        <w:tc>
          <w:tcPr>
            <w:tcW w:w="147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ascii="宋体" w:hAnsi="宋体" w:eastAsia="宋体" w:cs="宋体"/>
                <w:color w:val="000000"/>
                <w:sz w:val="22"/>
                <w:szCs w:val="22"/>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gridAfter w:val="1"/>
          <w:wAfter w:w="46" w:type="dxa"/>
          <w:trHeight w:val="312" w:hRule="atLeast"/>
        </w:trPr>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ascii="宋体" w:hAnsi="宋体" w:eastAsia="宋体" w:cs="宋体"/>
                <w:color w:val="000000"/>
                <w:sz w:val="22"/>
                <w:szCs w:val="22"/>
              </w:rPr>
            </w:pPr>
          </w:p>
        </w:tc>
        <w:tc>
          <w:tcPr>
            <w:tcW w:w="2323" w:type="dxa"/>
            <w:gridSpan w:val="5"/>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ascii="宋体" w:hAnsi="宋体" w:eastAsia="宋体" w:cs="宋体"/>
                <w:color w:val="000000"/>
                <w:sz w:val="22"/>
                <w:szCs w:val="22"/>
              </w:rPr>
            </w:pPr>
          </w:p>
        </w:tc>
        <w:tc>
          <w:tcPr>
            <w:tcW w:w="1696"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ascii="宋体" w:hAnsi="宋体" w:eastAsia="宋体" w:cs="宋体"/>
                <w:color w:val="000000"/>
                <w:sz w:val="22"/>
                <w:szCs w:val="22"/>
              </w:rPr>
            </w:pPr>
          </w:p>
        </w:tc>
        <w:tc>
          <w:tcPr>
            <w:tcW w:w="2031"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ascii="宋体" w:hAnsi="宋体" w:eastAsia="宋体" w:cs="宋体"/>
                <w:color w:val="000000"/>
                <w:sz w:val="22"/>
                <w:szCs w:val="22"/>
              </w:rPr>
            </w:pPr>
          </w:p>
        </w:tc>
        <w:tc>
          <w:tcPr>
            <w:tcW w:w="1592"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ascii="宋体" w:hAnsi="宋体" w:eastAsia="宋体" w:cs="宋体"/>
                <w:color w:val="000000"/>
                <w:sz w:val="22"/>
                <w:szCs w:val="22"/>
              </w:rPr>
            </w:pPr>
          </w:p>
        </w:tc>
        <w:tc>
          <w:tcPr>
            <w:tcW w:w="1223"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ascii="宋体" w:hAnsi="宋体" w:eastAsia="宋体" w:cs="宋体"/>
                <w:color w:val="000000"/>
                <w:sz w:val="22"/>
                <w:szCs w:val="22"/>
              </w:rPr>
            </w:pPr>
          </w:p>
        </w:tc>
        <w:tc>
          <w:tcPr>
            <w:tcW w:w="1269"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ascii="宋体" w:hAnsi="宋体" w:eastAsia="宋体" w:cs="宋体"/>
                <w:color w:val="000000"/>
                <w:sz w:val="22"/>
                <w:szCs w:val="22"/>
              </w:rPr>
            </w:pPr>
          </w:p>
        </w:tc>
        <w:tc>
          <w:tcPr>
            <w:tcW w:w="147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ascii="宋体" w:hAnsi="宋体" w:eastAsia="宋体" w:cs="宋体"/>
                <w:color w:val="000000"/>
                <w:sz w:val="22"/>
                <w:szCs w:val="22"/>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gridAfter w:val="1"/>
          <w:wAfter w:w="46" w:type="dxa"/>
          <w:trHeight w:val="560" w:hRule="atLeast"/>
        </w:trPr>
        <w:tc>
          <w:tcPr>
            <w:tcW w:w="4213" w:type="dxa"/>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栏次</w:t>
            </w:r>
          </w:p>
        </w:tc>
        <w:tc>
          <w:tcPr>
            <w:tcW w:w="1696" w:type="dxa"/>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2031" w:type="dxa"/>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c>
          <w:tcPr>
            <w:tcW w:w="1223" w:type="dxa"/>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w:t>
            </w:r>
          </w:p>
        </w:tc>
        <w:tc>
          <w:tcPr>
            <w:tcW w:w="1269" w:type="dxa"/>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c>
          <w:tcPr>
            <w:tcW w:w="1477" w:type="dxa"/>
            <w:tcBorders>
              <w:top w:val="single" w:color="000000" w:sz="4" w:space="0"/>
              <w:left w:val="single" w:color="000000" w:sz="4" w:space="0"/>
              <w:bottom w:val="single" w:color="000000" w:sz="4" w:space="0"/>
              <w:right w:val="single" w:color="000000" w:sz="4" w:space="0"/>
            </w:tcBorders>
            <w:shd w:val="clear" w:color="auto" w:fill="F1F1F1"/>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w:t>
            </w:r>
          </w:p>
        </w:tc>
        <w:tc>
          <w:tcPr>
            <w:tcW w:w="1350" w:type="dxa"/>
            <w:tcBorders>
              <w:top w:val="single" w:color="000000" w:sz="4" w:space="0"/>
              <w:left w:val="single" w:color="000000" w:sz="4" w:space="0"/>
              <w:bottom w:val="single" w:color="000000" w:sz="4" w:space="0"/>
              <w:right w:val="single" w:color="000000" w:sz="4" w:space="0"/>
            </w:tcBorders>
            <w:shd w:val="clear" w:color="auto" w:fill="F1F1F1"/>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w:t>
            </w:r>
          </w:p>
        </w:tc>
      </w:tr>
      <w:tr>
        <w:tblPrEx>
          <w:tblCellMar>
            <w:top w:w="0" w:type="dxa"/>
            <w:left w:w="108" w:type="dxa"/>
            <w:bottom w:w="0" w:type="dxa"/>
            <w:right w:w="108" w:type="dxa"/>
          </w:tblCellMar>
        </w:tblPrEx>
        <w:trPr>
          <w:gridAfter w:val="1"/>
          <w:wAfter w:w="46" w:type="dxa"/>
          <w:trHeight w:val="560" w:hRule="atLeast"/>
        </w:trPr>
        <w:tc>
          <w:tcPr>
            <w:tcW w:w="4213" w:type="dxa"/>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合计</w:t>
            </w:r>
          </w:p>
        </w:tc>
        <w:tc>
          <w:tcPr>
            <w:tcW w:w="169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523.24</w:t>
            </w:r>
          </w:p>
        </w:tc>
        <w:tc>
          <w:tcPr>
            <w:tcW w:w="20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523.24</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b/>
                <w:bCs/>
                <w:color w:val="000000"/>
                <w:sz w:val="22"/>
                <w:szCs w:val="22"/>
              </w:rPr>
            </w:pPr>
          </w:p>
        </w:tc>
        <w:tc>
          <w:tcPr>
            <w:tcW w:w="122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b/>
                <w:bCs/>
                <w:color w:val="000000"/>
                <w:sz w:val="22"/>
                <w:szCs w:val="22"/>
              </w:rPr>
            </w:pPr>
          </w:p>
        </w:tc>
        <w:tc>
          <w:tcPr>
            <w:tcW w:w="126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b/>
                <w:bCs/>
                <w:color w:val="000000"/>
                <w:sz w:val="22"/>
                <w:szCs w:val="22"/>
              </w:rPr>
            </w:pPr>
          </w:p>
        </w:tc>
        <w:tc>
          <w:tcPr>
            <w:tcW w:w="14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b/>
                <w:bCs/>
                <w:color w:val="000000"/>
                <w:sz w:val="22"/>
                <w:szCs w:val="22"/>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b/>
                <w:bCs/>
                <w:color w:val="000000"/>
                <w:sz w:val="22"/>
                <w:szCs w:val="22"/>
              </w:rPr>
            </w:pPr>
          </w:p>
        </w:tc>
      </w:tr>
      <w:tr>
        <w:tblPrEx>
          <w:tblCellMar>
            <w:top w:w="0" w:type="dxa"/>
            <w:left w:w="108" w:type="dxa"/>
            <w:bottom w:w="0" w:type="dxa"/>
            <w:right w:w="108" w:type="dxa"/>
          </w:tblCellMar>
        </w:tblPrEx>
        <w:trPr>
          <w:gridAfter w:val="1"/>
          <w:wAfter w:w="46" w:type="dxa"/>
          <w:trHeight w:val="560" w:hRule="atLeast"/>
        </w:trPr>
        <w:tc>
          <w:tcPr>
            <w:tcW w:w="1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2012999</w:t>
            </w:r>
          </w:p>
        </w:tc>
        <w:tc>
          <w:tcPr>
            <w:tcW w:w="2323"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其他群众团体事务支出</w:t>
            </w:r>
          </w:p>
        </w:tc>
        <w:tc>
          <w:tcPr>
            <w:tcW w:w="169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4.45</w:t>
            </w:r>
          </w:p>
        </w:tc>
        <w:tc>
          <w:tcPr>
            <w:tcW w:w="20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4.45</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color w:val="000000"/>
                <w:sz w:val="22"/>
                <w:szCs w:val="22"/>
              </w:rPr>
            </w:pPr>
          </w:p>
        </w:tc>
        <w:tc>
          <w:tcPr>
            <w:tcW w:w="122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color w:val="000000"/>
                <w:sz w:val="22"/>
                <w:szCs w:val="22"/>
              </w:rPr>
            </w:pPr>
          </w:p>
        </w:tc>
        <w:tc>
          <w:tcPr>
            <w:tcW w:w="126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color w:val="000000"/>
                <w:sz w:val="22"/>
                <w:szCs w:val="22"/>
              </w:rPr>
            </w:pPr>
          </w:p>
        </w:tc>
        <w:tc>
          <w:tcPr>
            <w:tcW w:w="14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color w:val="000000"/>
                <w:sz w:val="22"/>
                <w:szCs w:val="22"/>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color w:val="000000"/>
                <w:sz w:val="22"/>
                <w:szCs w:val="22"/>
              </w:rPr>
            </w:pPr>
          </w:p>
        </w:tc>
      </w:tr>
      <w:tr>
        <w:tblPrEx>
          <w:tblCellMar>
            <w:top w:w="0" w:type="dxa"/>
            <w:left w:w="108" w:type="dxa"/>
            <w:bottom w:w="0" w:type="dxa"/>
            <w:right w:w="108" w:type="dxa"/>
          </w:tblCellMar>
        </w:tblPrEx>
        <w:trPr>
          <w:gridAfter w:val="1"/>
          <w:wAfter w:w="46" w:type="dxa"/>
          <w:trHeight w:val="560" w:hRule="atLeast"/>
        </w:trPr>
        <w:tc>
          <w:tcPr>
            <w:tcW w:w="1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2050201</w:t>
            </w:r>
          </w:p>
        </w:tc>
        <w:tc>
          <w:tcPr>
            <w:tcW w:w="2323"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学前教育</w:t>
            </w:r>
          </w:p>
        </w:tc>
        <w:tc>
          <w:tcPr>
            <w:tcW w:w="169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430.67</w:t>
            </w:r>
          </w:p>
        </w:tc>
        <w:tc>
          <w:tcPr>
            <w:tcW w:w="20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430.67</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color w:val="000000"/>
                <w:sz w:val="22"/>
                <w:szCs w:val="22"/>
              </w:rPr>
            </w:pPr>
          </w:p>
        </w:tc>
        <w:tc>
          <w:tcPr>
            <w:tcW w:w="122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color w:val="000000"/>
                <w:sz w:val="22"/>
                <w:szCs w:val="22"/>
              </w:rPr>
            </w:pPr>
          </w:p>
        </w:tc>
        <w:tc>
          <w:tcPr>
            <w:tcW w:w="126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color w:val="000000"/>
                <w:sz w:val="22"/>
                <w:szCs w:val="22"/>
              </w:rPr>
            </w:pPr>
          </w:p>
        </w:tc>
        <w:tc>
          <w:tcPr>
            <w:tcW w:w="14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color w:val="000000"/>
                <w:sz w:val="22"/>
                <w:szCs w:val="22"/>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color w:val="000000"/>
                <w:sz w:val="22"/>
                <w:szCs w:val="22"/>
              </w:rPr>
            </w:pPr>
          </w:p>
        </w:tc>
      </w:tr>
      <w:tr>
        <w:tblPrEx>
          <w:tblCellMar>
            <w:top w:w="0" w:type="dxa"/>
            <w:left w:w="108" w:type="dxa"/>
            <w:bottom w:w="0" w:type="dxa"/>
            <w:right w:w="108" w:type="dxa"/>
          </w:tblCellMar>
        </w:tblPrEx>
        <w:trPr>
          <w:gridAfter w:val="1"/>
          <w:wAfter w:w="46" w:type="dxa"/>
          <w:trHeight w:val="560" w:hRule="atLeast"/>
        </w:trPr>
        <w:tc>
          <w:tcPr>
            <w:tcW w:w="1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2050299</w:t>
            </w:r>
          </w:p>
        </w:tc>
        <w:tc>
          <w:tcPr>
            <w:tcW w:w="2323"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其他普通教育支出</w:t>
            </w:r>
          </w:p>
        </w:tc>
        <w:tc>
          <w:tcPr>
            <w:tcW w:w="169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1.01</w:t>
            </w:r>
          </w:p>
        </w:tc>
        <w:tc>
          <w:tcPr>
            <w:tcW w:w="20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1.01</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color w:val="000000"/>
                <w:sz w:val="22"/>
                <w:szCs w:val="22"/>
              </w:rPr>
            </w:pPr>
          </w:p>
        </w:tc>
        <w:tc>
          <w:tcPr>
            <w:tcW w:w="122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color w:val="000000"/>
                <w:sz w:val="22"/>
                <w:szCs w:val="22"/>
              </w:rPr>
            </w:pPr>
          </w:p>
        </w:tc>
        <w:tc>
          <w:tcPr>
            <w:tcW w:w="126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color w:val="000000"/>
                <w:sz w:val="22"/>
                <w:szCs w:val="22"/>
              </w:rPr>
            </w:pPr>
          </w:p>
        </w:tc>
        <w:tc>
          <w:tcPr>
            <w:tcW w:w="14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color w:val="000000"/>
                <w:sz w:val="22"/>
                <w:szCs w:val="22"/>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color w:val="000000"/>
                <w:sz w:val="22"/>
                <w:szCs w:val="22"/>
              </w:rPr>
            </w:pPr>
          </w:p>
        </w:tc>
      </w:tr>
      <w:tr>
        <w:tblPrEx>
          <w:tblCellMar>
            <w:top w:w="0" w:type="dxa"/>
            <w:left w:w="108" w:type="dxa"/>
            <w:bottom w:w="0" w:type="dxa"/>
            <w:right w:w="108" w:type="dxa"/>
          </w:tblCellMar>
        </w:tblPrEx>
        <w:trPr>
          <w:gridAfter w:val="1"/>
          <w:wAfter w:w="46" w:type="dxa"/>
          <w:trHeight w:val="687" w:hRule="atLeast"/>
        </w:trPr>
        <w:tc>
          <w:tcPr>
            <w:tcW w:w="1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2080505</w:t>
            </w:r>
          </w:p>
        </w:tc>
        <w:tc>
          <w:tcPr>
            <w:tcW w:w="2323"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机关事业单位基本养老保险缴费支出</w:t>
            </w:r>
          </w:p>
        </w:tc>
        <w:tc>
          <w:tcPr>
            <w:tcW w:w="169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31.80</w:t>
            </w:r>
          </w:p>
        </w:tc>
        <w:tc>
          <w:tcPr>
            <w:tcW w:w="20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31.80</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color w:val="000000"/>
                <w:sz w:val="22"/>
                <w:szCs w:val="22"/>
              </w:rPr>
            </w:pPr>
          </w:p>
        </w:tc>
        <w:tc>
          <w:tcPr>
            <w:tcW w:w="122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color w:val="000000"/>
                <w:sz w:val="22"/>
                <w:szCs w:val="22"/>
              </w:rPr>
            </w:pPr>
          </w:p>
        </w:tc>
        <w:tc>
          <w:tcPr>
            <w:tcW w:w="126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color w:val="000000"/>
                <w:sz w:val="22"/>
                <w:szCs w:val="22"/>
              </w:rPr>
            </w:pPr>
          </w:p>
        </w:tc>
        <w:tc>
          <w:tcPr>
            <w:tcW w:w="14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color w:val="000000"/>
                <w:sz w:val="22"/>
                <w:szCs w:val="22"/>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color w:val="000000"/>
                <w:sz w:val="22"/>
                <w:szCs w:val="22"/>
              </w:rPr>
            </w:pPr>
          </w:p>
        </w:tc>
      </w:tr>
      <w:tr>
        <w:tblPrEx>
          <w:tblCellMar>
            <w:top w:w="0" w:type="dxa"/>
            <w:left w:w="108" w:type="dxa"/>
            <w:bottom w:w="0" w:type="dxa"/>
            <w:right w:w="108" w:type="dxa"/>
          </w:tblCellMar>
        </w:tblPrEx>
        <w:trPr>
          <w:gridAfter w:val="1"/>
          <w:wAfter w:w="46" w:type="dxa"/>
          <w:trHeight w:val="560" w:hRule="atLeast"/>
        </w:trPr>
        <w:tc>
          <w:tcPr>
            <w:tcW w:w="1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2210201</w:t>
            </w:r>
          </w:p>
        </w:tc>
        <w:tc>
          <w:tcPr>
            <w:tcW w:w="2323"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住房公积金</w:t>
            </w:r>
          </w:p>
        </w:tc>
        <w:tc>
          <w:tcPr>
            <w:tcW w:w="169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23.12</w:t>
            </w:r>
          </w:p>
        </w:tc>
        <w:tc>
          <w:tcPr>
            <w:tcW w:w="20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23.12</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color w:val="000000"/>
                <w:sz w:val="22"/>
                <w:szCs w:val="22"/>
              </w:rPr>
            </w:pPr>
          </w:p>
        </w:tc>
        <w:tc>
          <w:tcPr>
            <w:tcW w:w="122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color w:val="000000"/>
                <w:sz w:val="22"/>
                <w:szCs w:val="22"/>
              </w:rPr>
            </w:pPr>
          </w:p>
        </w:tc>
        <w:tc>
          <w:tcPr>
            <w:tcW w:w="126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color w:val="000000"/>
                <w:sz w:val="22"/>
                <w:szCs w:val="22"/>
              </w:rPr>
            </w:pPr>
          </w:p>
        </w:tc>
        <w:tc>
          <w:tcPr>
            <w:tcW w:w="14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color w:val="000000"/>
                <w:sz w:val="22"/>
                <w:szCs w:val="22"/>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color w:val="000000"/>
                <w:sz w:val="22"/>
                <w:szCs w:val="22"/>
              </w:rPr>
            </w:pPr>
          </w:p>
        </w:tc>
      </w:tr>
      <w:tr>
        <w:tblPrEx>
          <w:tblCellMar>
            <w:top w:w="0" w:type="dxa"/>
            <w:left w:w="108" w:type="dxa"/>
            <w:bottom w:w="0" w:type="dxa"/>
            <w:right w:w="108" w:type="dxa"/>
          </w:tblCellMar>
        </w:tblPrEx>
        <w:trPr>
          <w:gridAfter w:val="1"/>
          <w:wAfter w:w="46" w:type="dxa"/>
          <w:trHeight w:val="560" w:hRule="atLeast"/>
        </w:trPr>
        <w:tc>
          <w:tcPr>
            <w:tcW w:w="1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2299999</w:t>
            </w:r>
          </w:p>
        </w:tc>
        <w:tc>
          <w:tcPr>
            <w:tcW w:w="2323"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其他支出</w:t>
            </w:r>
          </w:p>
        </w:tc>
        <w:tc>
          <w:tcPr>
            <w:tcW w:w="169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32.18</w:t>
            </w:r>
          </w:p>
        </w:tc>
        <w:tc>
          <w:tcPr>
            <w:tcW w:w="20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32.18</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color w:val="000000"/>
                <w:sz w:val="22"/>
                <w:szCs w:val="22"/>
              </w:rPr>
            </w:pPr>
          </w:p>
        </w:tc>
        <w:tc>
          <w:tcPr>
            <w:tcW w:w="122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color w:val="000000"/>
                <w:sz w:val="22"/>
                <w:szCs w:val="22"/>
              </w:rPr>
            </w:pPr>
          </w:p>
        </w:tc>
        <w:tc>
          <w:tcPr>
            <w:tcW w:w="126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color w:val="000000"/>
                <w:sz w:val="22"/>
                <w:szCs w:val="22"/>
              </w:rPr>
            </w:pPr>
          </w:p>
        </w:tc>
        <w:tc>
          <w:tcPr>
            <w:tcW w:w="14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color w:val="000000"/>
                <w:sz w:val="22"/>
                <w:szCs w:val="22"/>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color w:val="000000"/>
                <w:sz w:val="22"/>
                <w:szCs w:val="22"/>
              </w:rPr>
            </w:pPr>
          </w:p>
        </w:tc>
      </w:tr>
    </w:tbl>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r>
        <w:rPr>
          <w:rFonts w:hint="eastAsia" w:ascii="仿宋" w:hAnsi="仿宋" w:eastAsia="仿宋" w:cs="仿宋"/>
          <w:sz w:val="24"/>
        </w:rPr>
        <w:t>表三：支出决算表</w:t>
      </w:r>
    </w:p>
    <w:p>
      <w:pPr>
        <w:jc w:val="left"/>
        <w:rPr>
          <w:rFonts w:ascii="仿宋" w:hAnsi="仿宋" w:eastAsia="仿宋" w:cs="仿宋"/>
          <w:sz w:val="24"/>
        </w:rPr>
      </w:pPr>
    </w:p>
    <w:tbl>
      <w:tblPr>
        <w:tblStyle w:val="7"/>
        <w:tblW w:w="13980" w:type="dxa"/>
        <w:tblInd w:w="96" w:type="dxa"/>
        <w:tblLayout w:type="fixed"/>
        <w:tblCellMar>
          <w:top w:w="0" w:type="dxa"/>
          <w:left w:w="108" w:type="dxa"/>
          <w:bottom w:w="0" w:type="dxa"/>
          <w:right w:w="108" w:type="dxa"/>
        </w:tblCellMar>
      </w:tblPr>
      <w:tblGrid>
        <w:gridCol w:w="1059"/>
        <w:gridCol w:w="83"/>
        <w:gridCol w:w="237"/>
        <w:gridCol w:w="303"/>
        <w:gridCol w:w="2222"/>
        <w:gridCol w:w="1627"/>
        <w:gridCol w:w="1680"/>
        <w:gridCol w:w="1760"/>
        <w:gridCol w:w="1653"/>
        <w:gridCol w:w="1654"/>
        <w:gridCol w:w="1702"/>
      </w:tblGrid>
      <w:tr>
        <w:tblPrEx>
          <w:tblCellMar>
            <w:top w:w="0" w:type="dxa"/>
            <w:left w:w="108" w:type="dxa"/>
            <w:bottom w:w="0" w:type="dxa"/>
            <w:right w:w="108" w:type="dxa"/>
          </w:tblCellMar>
        </w:tblPrEx>
        <w:trPr>
          <w:trHeight w:val="407" w:hRule="atLeast"/>
        </w:trPr>
        <w:tc>
          <w:tcPr>
            <w:tcW w:w="13980" w:type="dxa"/>
            <w:gridSpan w:val="11"/>
            <w:tcBorders>
              <w:top w:val="nil"/>
              <w:left w:val="nil"/>
              <w:bottom w:val="nil"/>
              <w:right w:val="nil"/>
            </w:tcBorders>
            <w:shd w:val="clear" w:color="auto" w:fill="auto"/>
            <w:noWrap/>
            <w:vAlign w:val="center"/>
          </w:tcPr>
          <w:p>
            <w:pPr>
              <w:widowControl/>
              <w:jc w:val="center"/>
              <w:textAlignment w:val="center"/>
              <w:rPr>
                <w:rFonts w:ascii="宋体" w:hAnsi="宋体" w:eastAsia="宋体" w:cs="宋体"/>
                <w:color w:val="000000"/>
                <w:sz w:val="30"/>
                <w:szCs w:val="30"/>
              </w:rPr>
            </w:pPr>
            <w:r>
              <w:rPr>
                <w:rFonts w:hint="eastAsia" w:ascii="宋体" w:hAnsi="宋体" w:eastAsia="宋体" w:cs="宋体"/>
                <w:color w:val="000000"/>
                <w:kern w:val="0"/>
                <w:sz w:val="32"/>
                <w:szCs w:val="32"/>
              </w:rPr>
              <w:t>支出决算表</w:t>
            </w:r>
          </w:p>
        </w:tc>
      </w:tr>
      <w:tr>
        <w:tblPrEx>
          <w:tblCellMar>
            <w:top w:w="0" w:type="dxa"/>
            <w:left w:w="108" w:type="dxa"/>
            <w:bottom w:w="0" w:type="dxa"/>
            <w:right w:w="108" w:type="dxa"/>
          </w:tblCellMar>
        </w:tblPrEx>
        <w:trPr>
          <w:trHeight w:val="312" w:hRule="atLeast"/>
        </w:trPr>
        <w:tc>
          <w:tcPr>
            <w:tcW w:w="1142" w:type="dxa"/>
            <w:gridSpan w:val="2"/>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237" w:type="dxa"/>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303" w:type="dxa"/>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2222" w:type="dxa"/>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1627" w:type="dxa"/>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1680" w:type="dxa"/>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1760" w:type="dxa"/>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1653" w:type="dxa"/>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1654" w:type="dxa"/>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1702" w:type="dxa"/>
            <w:tcBorders>
              <w:top w:val="nil"/>
              <w:left w:val="nil"/>
              <w:bottom w:val="nil"/>
              <w:right w:val="nil"/>
            </w:tcBorders>
            <w:shd w:val="clear" w:color="auto" w:fill="auto"/>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rPr>
                <w:rFonts w:ascii="Arial" w:hAnsi="Arial" w:cs="Arial"/>
                <w:color w:val="000000"/>
                <w:sz w:val="20"/>
                <w:szCs w:val="20"/>
              </w:rPr>
            </w:pPr>
            <w:r>
              <w:rPr>
                <w:rFonts w:hint="eastAsia" w:ascii="宋体" w:hAnsi="宋体" w:eastAsia="宋体" w:cs="宋体"/>
                <w:color w:val="000000"/>
                <w:kern w:val="0"/>
                <w:sz w:val="20"/>
                <w:szCs w:val="20"/>
              </w:rPr>
              <w:t>部门：</w:t>
            </w:r>
            <w:r>
              <w:rPr>
                <w:rFonts w:ascii="宋体" w:hAnsi="宋体" w:eastAsia="宋体" w:cs="宋体"/>
                <w:color w:val="000000"/>
                <w:sz w:val="20"/>
              </w:rPr>
              <w:t>环江毛南族自治县第二幼儿园</w:t>
            </w:r>
          </w:p>
        </w:tc>
        <w:tc>
          <w:tcPr>
            <w:tcW w:w="1653" w:type="dxa"/>
            <w:tcBorders>
              <w:top w:val="nil"/>
              <w:left w:val="nil"/>
              <w:bottom w:val="single" w:color="auto" w:sz="4" w:space="0"/>
              <w:right w:val="nil"/>
            </w:tcBorders>
            <w:shd w:val="clear" w:color="auto" w:fill="auto"/>
            <w:noWrap/>
            <w:vAlign w:val="center"/>
          </w:tcPr>
          <w:p>
            <w:pPr>
              <w:rPr>
                <w:rFonts w:ascii="Arial" w:hAnsi="Arial" w:cs="Arial"/>
                <w:color w:val="000000"/>
                <w:sz w:val="20"/>
                <w:szCs w:val="20"/>
              </w:rPr>
            </w:pPr>
          </w:p>
        </w:tc>
        <w:tc>
          <w:tcPr>
            <w:tcW w:w="1654" w:type="dxa"/>
            <w:tcBorders>
              <w:top w:val="nil"/>
              <w:left w:val="nil"/>
              <w:bottom w:val="single" w:color="auto" w:sz="4" w:space="0"/>
              <w:right w:val="nil"/>
            </w:tcBorders>
            <w:shd w:val="clear" w:color="auto" w:fill="auto"/>
            <w:noWrap/>
            <w:vAlign w:val="center"/>
          </w:tcPr>
          <w:p>
            <w:pPr>
              <w:rPr>
                <w:rFonts w:ascii="Arial" w:hAnsi="Arial" w:cs="Arial"/>
                <w:color w:val="000000"/>
                <w:sz w:val="20"/>
                <w:szCs w:val="20"/>
              </w:rPr>
            </w:pPr>
          </w:p>
        </w:tc>
        <w:tc>
          <w:tcPr>
            <w:tcW w:w="1702" w:type="dxa"/>
            <w:tcBorders>
              <w:top w:val="nil"/>
              <w:left w:val="nil"/>
              <w:bottom w:val="single" w:color="auto" w:sz="4" w:space="0"/>
              <w:right w:val="nil"/>
            </w:tcBorders>
            <w:shd w:val="clear" w:color="auto" w:fill="auto"/>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对附属单位补助支出</w:t>
            </w:r>
          </w:p>
        </w:tc>
      </w:tr>
      <w:tr>
        <w:tblPrEx>
          <w:tblCellMar>
            <w:top w:w="0" w:type="dxa"/>
            <w:left w:w="108" w:type="dxa"/>
            <w:bottom w:w="0" w:type="dxa"/>
            <w:right w:w="108" w:type="dxa"/>
          </w:tblCellMar>
        </w:tblPrEx>
        <w:trPr>
          <w:trHeight w:val="322" w:hRule="atLeast"/>
        </w:trPr>
        <w:tc>
          <w:tcPr>
            <w:tcW w:w="10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科目代码</w:t>
            </w:r>
          </w:p>
        </w:tc>
        <w:tc>
          <w:tcPr>
            <w:tcW w:w="2845"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465" w:hRule="atLeast"/>
        </w:trPr>
        <w:tc>
          <w:tcPr>
            <w:tcW w:w="10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2845"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12" w:hRule="atLeast"/>
        </w:trPr>
        <w:tc>
          <w:tcPr>
            <w:tcW w:w="10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2845"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w:t>
            </w:r>
          </w:p>
        </w:tc>
      </w:tr>
      <w:tr>
        <w:tblPrEx>
          <w:tblCellMar>
            <w:top w:w="0" w:type="dxa"/>
            <w:left w:w="108" w:type="dxa"/>
            <w:bottom w:w="0" w:type="dxa"/>
            <w:right w:w="108" w:type="dxa"/>
          </w:tblCellMar>
        </w:tblPrEx>
        <w:trPr>
          <w:trHeight w:val="42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523.24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319.16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204.08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p>
        </w:tc>
      </w:tr>
      <w:tr>
        <w:tblPrEx>
          <w:tblCellMar>
            <w:top w:w="0" w:type="dxa"/>
            <w:left w:w="108" w:type="dxa"/>
            <w:bottom w:w="0" w:type="dxa"/>
            <w:right w:w="108" w:type="dxa"/>
          </w:tblCellMar>
        </w:tblPrEx>
        <w:trPr>
          <w:trHeight w:val="322" w:hRule="atLeast"/>
        </w:trPr>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2012999</w:t>
            </w:r>
          </w:p>
        </w:tc>
        <w:tc>
          <w:tcPr>
            <w:tcW w:w="284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4.45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4.45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rPr>
            </w:pP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rPr>
            </w:pP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322" w:hRule="atLeast"/>
        </w:trPr>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2050201</w:t>
            </w:r>
          </w:p>
        </w:tc>
        <w:tc>
          <w:tcPr>
            <w:tcW w:w="284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学前教育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430.67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227.25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203.43</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rPr>
            </w:pP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rPr>
            </w:pP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322" w:hRule="atLeast"/>
        </w:trPr>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2050299</w:t>
            </w:r>
          </w:p>
        </w:tc>
        <w:tc>
          <w:tcPr>
            <w:tcW w:w="284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其他普通教育支出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0.36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0.65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rPr>
            </w:pP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rPr>
            </w:pP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322" w:hRule="atLeast"/>
        </w:trPr>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2080505</w:t>
            </w:r>
          </w:p>
        </w:tc>
        <w:tc>
          <w:tcPr>
            <w:tcW w:w="284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31.80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31.80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rPr>
            </w:pP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rPr>
            </w:pP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322" w:hRule="atLeast"/>
        </w:trPr>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2210201</w:t>
            </w:r>
          </w:p>
        </w:tc>
        <w:tc>
          <w:tcPr>
            <w:tcW w:w="284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23.12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23.12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rPr>
            </w:pP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rPr>
            </w:pP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322" w:hRule="atLeast"/>
        </w:trPr>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2299999</w:t>
            </w:r>
          </w:p>
        </w:tc>
        <w:tc>
          <w:tcPr>
            <w:tcW w:w="284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32.18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32.18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rPr>
            </w:pP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rPr>
            </w:pP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注：本表反映部门本年度各项支出情况。</w:t>
            </w:r>
          </w:p>
        </w:tc>
      </w:tr>
    </w:tbl>
    <w:p>
      <w:pPr>
        <w:rPr>
          <w:rFonts w:ascii="仿宋" w:hAnsi="仿宋" w:eastAsia="仿宋" w:cs="仿宋"/>
          <w:sz w:val="24"/>
        </w:rPr>
      </w:pPr>
      <w:r>
        <w:rPr>
          <w:rFonts w:ascii="仿宋" w:hAnsi="仿宋" w:eastAsia="仿宋" w:cs="仿宋"/>
          <w:sz w:val="24"/>
        </w:rPr>
        <w:br w:type="page"/>
      </w:r>
    </w:p>
    <w:p>
      <w:pPr>
        <w:jc w:val="left"/>
        <w:rPr>
          <w:rFonts w:ascii="仿宋" w:hAnsi="仿宋" w:eastAsia="仿宋" w:cs="仿宋"/>
          <w:sz w:val="24"/>
        </w:rPr>
      </w:pPr>
      <w:r>
        <w:rPr>
          <w:rFonts w:hint="eastAsia" w:ascii="仿宋" w:hAnsi="仿宋" w:eastAsia="仿宋" w:cs="仿宋"/>
          <w:sz w:val="24"/>
        </w:rPr>
        <w:t>表四：财政拨款收入支出决算总表</w:t>
      </w:r>
    </w:p>
    <w:p>
      <w:pPr>
        <w:jc w:val="left"/>
        <w:rPr>
          <w:rFonts w:ascii="仿宋" w:hAnsi="仿宋" w:eastAsia="仿宋" w:cs="仿宋"/>
          <w:sz w:val="24"/>
        </w:rPr>
      </w:pPr>
    </w:p>
    <w:tbl>
      <w:tblPr>
        <w:tblStyle w:val="7"/>
        <w:tblW w:w="4966" w:type="pct"/>
        <w:tblInd w:w="0" w:type="dxa"/>
        <w:tblLayout w:type="fixed"/>
        <w:tblCellMar>
          <w:top w:w="0" w:type="dxa"/>
          <w:left w:w="108" w:type="dxa"/>
          <w:bottom w:w="0" w:type="dxa"/>
          <w:right w:w="108" w:type="dxa"/>
        </w:tblCellMar>
      </w:tblPr>
      <w:tblGrid>
        <w:gridCol w:w="2213"/>
        <w:gridCol w:w="786"/>
        <w:gridCol w:w="1306"/>
        <w:gridCol w:w="2359"/>
        <w:gridCol w:w="850"/>
        <w:gridCol w:w="1090"/>
        <w:gridCol w:w="1771"/>
        <w:gridCol w:w="1808"/>
        <w:gridCol w:w="1895"/>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2"/>
                <w:szCs w:val="32"/>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79"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464"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838"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02"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86"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629"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640"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672" w:type="pct"/>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260" w:hRule="atLeast"/>
        </w:trPr>
        <w:tc>
          <w:tcPr>
            <w:tcW w:w="3056" w:type="pct"/>
            <w:gridSpan w:val="6"/>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r>
              <w:rPr>
                <w:rFonts w:hint="eastAsia" w:ascii="宋体" w:hAnsi="宋体" w:eastAsia="宋体" w:cs="宋体"/>
                <w:color w:val="000000"/>
                <w:kern w:val="0"/>
                <w:sz w:val="20"/>
                <w:szCs w:val="20"/>
              </w:rPr>
              <w:t>部门：</w:t>
            </w:r>
            <w:r>
              <w:rPr>
                <w:rFonts w:ascii="宋体" w:hAnsi="宋体" w:eastAsia="宋体" w:cs="宋体"/>
                <w:color w:val="000000"/>
                <w:sz w:val="20"/>
              </w:rPr>
              <w:t>环江毛南族自治县第二幼儿园</w:t>
            </w:r>
          </w:p>
        </w:tc>
        <w:tc>
          <w:tcPr>
            <w:tcW w:w="629" w:type="pct"/>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640" w:type="pct"/>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672" w:type="pct"/>
            <w:tcBorders>
              <w:top w:val="nil"/>
              <w:left w:val="nil"/>
              <w:bottom w:val="single" w:color="auto" w:sz="4" w:space="0"/>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w:t>
            </w:r>
          </w:p>
        </w:tc>
        <w:tc>
          <w:tcPr>
            <w:tcW w:w="2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2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栏次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一、一般公共预算财政拨款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523.24</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33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4.45</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4.45</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50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二、政府性基金预算财政拨款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34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三、国有资本经营预算财政拨款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35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36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37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431.69</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431.69</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38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39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40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31.08</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31.08</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41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42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43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44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45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46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47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48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49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50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51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23.12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23.12</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52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54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55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32.18</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32.18</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56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57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58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本年收入合计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523.24</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59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523.24</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523.24</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年初财政拨款结转和结余</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60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61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62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63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总计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523.24</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64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523.24</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523.24</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注：本表反映部门本年度一般公共预算财政拨款、政府性基金预算财政拨款和国有资本经营预算财政拨款的总收支和年末结转结余情况。</w:t>
            </w:r>
          </w:p>
          <w:p>
            <w:pPr>
              <w:widowControl/>
              <w:jc w:val="left"/>
              <w:textAlignment w:val="center"/>
              <w:rPr>
                <w:rFonts w:ascii="宋体" w:hAnsi="宋体" w:eastAsia="宋体" w:cs="宋体"/>
                <w:color w:val="000000"/>
                <w:kern w:val="0"/>
                <w:sz w:val="22"/>
                <w:szCs w:val="22"/>
              </w:rPr>
            </w:pPr>
          </w:p>
          <w:p>
            <w:pPr>
              <w:widowControl/>
              <w:jc w:val="left"/>
              <w:textAlignment w:val="center"/>
              <w:rPr>
                <w:rFonts w:ascii="宋体" w:hAnsi="宋体" w:eastAsia="宋体" w:cs="宋体"/>
                <w:color w:val="000000"/>
                <w:kern w:val="0"/>
                <w:sz w:val="22"/>
                <w:szCs w:val="22"/>
              </w:rPr>
            </w:pPr>
          </w:p>
        </w:tc>
        <w:tc>
          <w:tcPr>
            <w:tcW w:w="672" w:type="pct"/>
            <w:tcBorders>
              <w:top w:val="single" w:color="auto" w:sz="4" w:space="0"/>
              <w:left w:val="nil"/>
              <w:bottom w:val="nil"/>
              <w:right w:val="nil"/>
            </w:tcBorders>
            <w:shd w:val="clear" w:color="auto" w:fill="auto"/>
            <w:noWrap/>
            <w:vAlign w:val="center"/>
          </w:tcPr>
          <w:p>
            <w:pPr>
              <w:jc w:val="left"/>
              <w:rPr>
                <w:rFonts w:ascii="宋体" w:hAnsi="宋体" w:eastAsia="宋体" w:cs="宋体"/>
                <w:color w:val="000000"/>
                <w:sz w:val="20"/>
                <w:szCs w:val="20"/>
              </w:rPr>
            </w:pPr>
          </w:p>
        </w:tc>
      </w:tr>
    </w:tbl>
    <w:p>
      <w:pPr>
        <w:jc w:val="left"/>
        <w:rPr>
          <w:rFonts w:ascii="仿宋" w:hAnsi="仿宋" w:eastAsia="仿宋" w:cs="仿宋"/>
          <w:sz w:val="24"/>
        </w:rPr>
      </w:pPr>
    </w:p>
    <w:p>
      <w:pPr>
        <w:rPr>
          <w:rFonts w:ascii="仿宋" w:hAnsi="仿宋" w:eastAsia="仿宋" w:cs="仿宋"/>
          <w:sz w:val="24"/>
        </w:rPr>
      </w:pPr>
      <w:r>
        <w:rPr>
          <w:rFonts w:ascii="仿宋" w:hAnsi="仿宋" w:eastAsia="仿宋" w:cs="仿宋"/>
          <w:sz w:val="24"/>
        </w:rPr>
        <w:br w:type="page"/>
      </w:r>
    </w:p>
    <w:p>
      <w:pPr>
        <w:jc w:val="left"/>
        <w:rPr>
          <w:rFonts w:ascii="仿宋" w:hAnsi="仿宋" w:eastAsia="仿宋" w:cs="仿宋"/>
          <w:sz w:val="24"/>
        </w:rPr>
      </w:pPr>
      <w:r>
        <w:rPr>
          <w:rFonts w:hint="eastAsia" w:ascii="仿宋" w:hAnsi="仿宋" w:eastAsia="仿宋" w:cs="仿宋"/>
          <w:sz w:val="24"/>
        </w:rPr>
        <w:t>表五：一般公共预算财政拨款支出决算表</w:t>
      </w:r>
    </w:p>
    <w:p>
      <w:pPr>
        <w:jc w:val="left"/>
        <w:rPr>
          <w:rFonts w:ascii="仿宋" w:hAnsi="仿宋" w:eastAsia="仿宋" w:cs="仿宋"/>
          <w:sz w:val="24"/>
        </w:rPr>
      </w:pPr>
    </w:p>
    <w:tbl>
      <w:tblPr>
        <w:tblStyle w:val="7"/>
        <w:tblW w:w="13980" w:type="dxa"/>
        <w:tblInd w:w="96" w:type="dxa"/>
        <w:tblLayout w:type="fixed"/>
        <w:tblCellMar>
          <w:top w:w="0" w:type="dxa"/>
          <w:left w:w="108" w:type="dxa"/>
          <w:bottom w:w="0" w:type="dxa"/>
          <w:right w:w="108" w:type="dxa"/>
        </w:tblCellMar>
      </w:tblPr>
      <w:tblGrid>
        <w:gridCol w:w="2283"/>
        <w:gridCol w:w="238"/>
        <w:gridCol w:w="238"/>
        <w:gridCol w:w="849"/>
        <w:gridCol w:w="1203"/>
        <w:gridCol w:w="2842"/>
        <w:gridCol w:w="331"/>
        <w:gridCol w:w="2435"/>
        <w:gridCol w:w="672"/>
        <w:gridCol w:w="2889"/>
      </w:tblGrid>
      <w:tr>
        <w:tblPrEx>
          <w:tblCellMar>
            <w:top w:w="0" w:type="dxa"/>
            <w:left w:w="108" w:type="dxa"/>
            <w:bottom w:w="0" w:type="dxa"/>
            <w:right w:w="108" w:type="dxa"/>
          </w:tblCellMar>
        </w:tblPrEx>
        <w:trPr>
          <w:trHeight w:val="693" w:hRule="atLeast"/>
        </w:trPr>
        <w:tc>
          <w:tcPr>
            <w:tcW w:w="13980" w:type="dxa"/>
            <w:gridSpan w:val="10"/>
            <w:tcBorders>
              <w:top w:val="nil"/>
              <w:left w:val="nil"/>
              <w:bottom w:val="nil"/>
              <w:right w:val="nil"/>
            </w:tcBorders>
            <w:shd w:val="clear" w:color="auto" w:fill="auto"/>
            <w:noWrap/>
            <w:vAlign w:val="bottom"/>
          </w:tcPr>
          <w:p>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2"/>
                <w:szCs w:val="32"/>
              </w:rPr>
              <w:t>一般公共预算财政拨款支出决算表</w:t>
            </w:r>
          </w:p>
        </w:tc>
      </w:tr>
      <w:tr>
        <w:tblPrEx>
          <w:tblCellMar>
            <w:top w:w="0" w:type="dxa"/>
            <w:left w:w="108" w:type="dxa"/>
            <w:bottom w:w="0" w:type="dxa"/>
            <w:right w:w="108" w:type="dxa"/>
          </w:tblCellMar>
        </w:tblPrEx>
        <w:trPr>
          <w:trHeight w:val="346" w:hRule="atLeast"/>
        </w:trPr>
        <w:tc>
          <w:tcPr>
            <w:tcW w:w="228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38"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38"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052"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173"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107"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889"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公开05表</w:t>
            </w:r>
          </w:p>
        </w:tc>
      </w:tr>
      <w:tr>
        <w:tblPrEx>
          <w:tblCellMar>
            <w:top w:w="0" w:type="dxa"/>
            <w:left w:w="108" w:type="dxa"/>
            <w:bottom w:w="0" w:type="dxa"/>
            <w:right w:w="108" w:type="dxa"/>
          </w:tblCellMar>
        </w:tblPrEx>
        <w:trPr>
          <w:trHeight w:val="346" w:hRule="atLeast"/>
        </w:trPr>
        <w:tc>
          <w:tcPr>
            <w:tcW w:w="7984" w:type="dxa"/>
            <w:gridSpan w:val="7"/>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r>
              <w:rPr>
                <w:rFonts w:hint="eastAsia" w:ascii="宋体" w:hAnsi="宋体" w:eastAsia="宋体" w:cs="宋体"/>
                <w:color w:val="000000"/>
                <w:kern w:val="0"/>
                <w:sz w:val="20"/>
                <w:szCs w:val="20"/>
              </w:rPr>
              <w:t>部门：</w:t>
            </w:r>
            <w:r>
              <w:rPr>
                <w:rFonts w:ascii="宋体" w:hAnsi="宋体" w:eastAsia="宋体" w:cs="宋体"/>
                <w:color w:val="000000"/>
                <w:sz w:val="20"/>
              </w:rPr>
              <w:t>环江毛南族自治县第二幼儿园</w:t>
            </w:r>
          </w:p>
        </w:tc>
        <w:tc>
          <w:tcPr>
            <w:tcW w:w="3107" w:type="dxa"/>
            <w:gridSpan w:val="2"/>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2889" w:type="dxa"/>
            <w:tcBorders>
              <w:top w:val="nil"/>
              <w:left w:val="nil"/>
              <w:bottom w:val="single" w:color="auto" w:sz="4" w:space="0"/>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w:t>
            </w:r>
          </w:p>
        </w:tc>
        <w:tc>
          <w:tcPr>
            <w:tcW w:w="916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本年支出</w:t>
            </w:r>
          </w:p>
        </w:tc>
      </w:tr>
      <w:tr>
        <w:tblPrEx>
          <w:tblCellMar>
            <w:top w:w="0" w:type="dxa"/>
            <w:left w:w="108" w:type="dxa"/>
            <w:bottom w:w="0" w:type="dxa"/>
            <w:right w:w="108" w:type="dxa"/>
          </w:tblCellMar>
        </w:tblPrEx>
        <w:trPr>
          <w:trHeight w:val="353" w:hRule="atLeast"/>
        </w:trPr>
        <w:tc>
          <w:tcPr>
            <w:tcW w:w="3608"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科目代码</w:t>
            </w:r>
          </w:p>
        </w:tc>
        <w:tc>
          <w:tcPr>
            <w:tcW w:w="120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科目名称</w:t>
            </w:r>
          </w:p>
        </w:tc>
        <w:tc>
          <w:tcPr>
            <w:tcW w:w="284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小计</w:t>
            </w:r>
          </w:p>
        </w:tc>
        <w:tc>
          <w:tcPr>
            <w:tcW w:w="2766"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基本支出</w:t>
            </w:r>
          </w:p>
        </w:tc>
        <w:tc>
          <w:tcPr>
            <w:tcW w:w="3561"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项目支出</w:t>
            </w:r>
          </w:p>
        </w:tc>
      </w:tr>
      <w:tr>
        <w:tblPrEx>
          <w:tblCellMar>
            <w:top w:w="0" w:type="dxa"/>
            <w:left w:w="108" w:type="dxa"/>
            <w:bottom w:w="0" w:type="dxa"/>
            <w:right w:w="108" w:type="dxa"/>
          </w:tblCellMar>
        </w:tblPrEx>
        <w:trPr>
          <w:trHeight w:val="319" w:hRule="atLeast"/>
        </w:trPr>
        <w:tc>
          <w:tcPr>
            <w:tcW w:w="3608"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20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284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276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356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53" w:hRule="atLeast"/>
        </w:trPr>
        <w:tc>
          <w:tcPr>
            <w:tcW w:w="3608"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20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284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276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356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栏次</w:t>
            </w:r>
          </w:p>
        </w:tc>
        <w:tc>
          <w:tcPr>
            <w:tcW w:w="284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27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35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合计</w:t>
            </w:r>
          </w:p>
        </w:tc>
        <w:tc>
          <w:tcPr>
            <w:tcW w:w="284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523.24</w:t>
            </w:r>
          </w:p>
        </w:tc>
        <w:tc>
          <w:tcPr>
            <w:tcW w:w="27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319.16</w:t>
            </w:r>
          </w:p>
        </w:tc>
        <w:tc>
          <w:tcPr>
            <w:tcW w:w="35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204.08</w:t>
            </w:r>
          </w:p>
        </w:tc>
      </w:tr>
      <w:tr>
        <w:tblPrEx>
          <w:tblCellMar>
            <w:top w:w="0" w:type="dxa"/>
            <w:left w:w="108" w:type="dxa"/>
            <w:bottom w:w="0" w:type="dxa"/>
            <w:right w:w="108" w:type="dxa"/>
          </w:tblCellMar>
        </w:tblPrEx>
        <w:trPr>
          <w:trHeight w:val="358" w:hRule="atLeast"/>
        </w:trPr>
        <w:tc>
          <w:tcPr>
            <w:tcW w:w="360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2012999</w:t>
            </w:r>
          </w:p>
        </w:tc>
        <w:tc>
          <w:tcPr>
            <w:tcW w:w="12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其他群众团体事务支出</w:t>
            </w:r>
          </w:p>
        </w:tc>
        <w:tc>
          <w:tcPr>
            <w:tcW w:w="284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4.45</w:t>
            </w:r>
          </w:p>
        </w:tc>
        <w:tc>
          <w:tcPr>
            <w:tcW w:w="27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4.45</w:t>
            </w:r>
          </w:p>
        </w:tc>
        <w:tc>
          <w:tcPr>
            <w:tcW w:w="35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r>
      <w:tr>
        <w:tblPrEx>
          <w:tblCellMar>
            <w:top w:w="0" w:type="dxa"/>
            <w:left w:w="108" w:type="dxa"/>
            <w:bottom w:w="0" w:type="dxa"/>
            <w:right w:w="108" w:type="dxa"/>
          </w:tblCellMar>
        </w:tblPrEx>
        <w:trPr>
          <w:trHeight w:val="358" w:hRule="atLeast"/>
        </w:trPr>
        <w:tc>
          <w:tcPr>
            <w:tcW w:w="360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2050201</w:t>
            </w:r>
          </w:p>
        </w:tc>
        <w:tc>
          <w:tcPr>
            <w:tcW w:w="12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学前教育</w:t>
            </w:r>
          </w:p>
        </w:tc>
        <w:tc>
          <w:tcPr>
            <w:tcW w:w="284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430.67</w:t>
            </w:r>
          </w:p>
        </w:tc>
        <w:tc>
          <w:tcPr>
            <w:tcW w:w="27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227.25</w:t>
            </w:r>
          </w:p>
        </w:tc>
        <w:tc>
          <w:tcPr>
            <w:tcW w:w="35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b/>
                <w:bCs/>
                <w:color w:val="000000"/>
                <w:kern w:val="0"/>
                <w:sz w:val="22"/>
                <w:szCs w:val="22"/>
              </w:rPr>
              <w:t>203.43</w:t>
            </w:r>
          </w:p>
        </w:tc>
      </w:tr>
      <w:tr>
        <w:tblPrEx>
          <w:tblCellMar>
            <w:top w:w="0" w:type="dxa"/>
            <w:left w:w="108" w:type="dxa"/>
            <w:bottom w:w="0" w:type="dxa"/>
            <w:right w:w="108" w:type="dxa"/>
          </w:tblCellMar>
        </w:tblPrEx>
        <w:trPr>
          <w:trHeight w:val="358" w:hRule="atLeast"/>
        </w:trPr>
        <w:tc>
          <w:tcPr>
            <w:tcW w:w="360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2050299</w:t>
            </w:r>
          </w:p>
        </w:tc>
        <w:tc>
          <w:tcPr>
            <w:tcW w:w="12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其他普通教育支出</w:t>
            </w:r>
          </w:p>
        </w:tc>
        <w:tc>
          <w:tcPr>
            <w:tcW w:w="284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1.01</w:t>
            </w:r>
          </w:p>
        </w:tc>
        <w:tc>
          <w:tcPr>
            <w:tcW w:w="27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0.36</w:t>
            </w:r>
          </w:p>
        </w:tc>
        <w:tc>
          <w:tcPr>
            <w:tcW w:w="35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0.65</w:t>
            </w:r>
          </w:p>
        </w:tc>
      </w:tr>
      <w:tr>
        <w:tblPrEx>
          <w:tblCellMar>
            <w:top w:w="0" w:type="dxa"/>
            <w:left w:w="108" w:type="dxa"/>
            <w:bottom w:w="0" w:type="dxa"/>
            <w:right w:w="108" w:type="dxa"/>
          </w:tblCellMar>
        </w:tblPrEx>
        <w:trPr>
          <w:trHeight w:val="964" w:hRule="atLeast"/>
        </w:trPr>
        <w:tc>
          <w:tcPr>
            <w:tcW w:w="360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2080505</w:t>
            </w:r>
          </w:p>
        </w:tc>
        <w:tc>
          <w:tcPr>
            <w:tcW w:w="12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机关事业单位基本养老保险缴费支出</w:t>
            </w:r>
          </w:p>
        </w:tc>
        <w:tc>
          <w:tcPr>
            <w:tcW w:w="284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31.80</w:t>
            </w:r>
          </w:p>
        </w:tc>
        <w:tc>
          <w:tcPr>
            <w:tcW w:w="27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31.80</w:t>
            </w:r>
          </w:p>
        </w:tc>
        <w:tc>
          <w:tcPr>
            <w:tcW w:w="35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r>
      <w:tr>
        <w:tblPrEx>
          <w:tblCellMar>
            <w:top w:w="0" w:type="dxa"/>
            <w:left w:w="108" w:type="dxa"/>
            <w:bottom w:w="0" w:type="dxa"/>
            <w:right w:w="108" w:type="dxa"/>
          </w:tblCellMar>
        </w:tblPrEx>
        <w:trPr>
          <w:trHeight w:val="358" w:hRule="atLeast"/>
        </w:trPr>
        <w:tc>
          <w:tcPr>
            <w:tcW w:w="360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2210201</w:t>
            </w:r>
          </w:p>
        </w:tc>
        <w:tc>
          <w:tcPr>
            <w:tcW w:w="12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住房公积金</w:t>
            </w:r>
          </w:p>
        </w:tc>
        <w:tc>
          <w:tcPr>
            <w:tcW w:w="284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23.12</w:t>
            </w:r>
          </w:p>
        </w:tc>
        <w:tc>
          <w:tcPr>
            <w:tcW w:w="27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23.12</w:t>
            </w:r>
          </w:p>
        </w:tc>
        <w:tc>
          <w:tcPr>
            <w:tcW w:w="35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r>
      <w:tr>
        <w:tblPrEx>
          <w:tblCellMar>
            <w:top w:w="0" w:type="dxa"/>
            <w:left w:w="108" w:type="dxa"/>
            <w:bottom w:w="0" w:type="dxa"/>
            <w:right w:w="108" w:type="dxa"/>
          </w:tblCellMar>
        </w:tblPrEx>
        <w:trPr>
          <w:trHeight w:val="358" w:hRule="atLeast"/>
        </w:trPr>
        <w:tc>
          <w:tcPr>
            <w:tcW w:w="360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2299999</w:t>
            </w:r>
          </w:p>
        </w:tc>
        <w:tc>
          <w:tcPr>
            <w:tcW w:w="12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其他支出</w:t>
            </w:r>
          </w:p>
        </w:tc>
        <w:tc>
          <w:tcPr>
            <w:tcW w:w="284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32.18</w:t>
            </w:r>
          </w:p>
        </w:tc>
        <w:tc>
          <w:tcPr>
            <w:tcW w:w="27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32.18</w:t>
            </w:r>
          </w:p>
        </w:tc>
        <w:tc>
          <w:tcPr>
            <w:tcW w:w="35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r>
      <w:tr>
        <w:tblPrEx>
          <w:tblCellMar>
            <w:top w:w="0" w:type="dxa"/>
            <w:left w:w="108" w:type="dxa"/>
            <w:bottom w:w="0" w:type="dxa"/>
            <w:right w:w="108" w:type="dxa"/>
          </w:tblCellMar>
        </w:tblPrEx>
        <w:trPr>
          <w:trHeight w:val="358" w:hRule="atLeast"/>
        </w:trPr>
        <w:tc>
          <w:tcPr>
            <w:tcW w:w="13980" w:type="dxa"/>
            <w:gridSpan w:val="10"/>
            <w:tcBorders>
              <w:top w:val="single" w:color="auto" w:sz="4" w:space="0"/>
              <w:left w:val="nil"/>
              <w:bottom w:val="nil"/>
              <w:right w:val="nil"/>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注：本表反映部门本年度一般公共预算财政拨款支出情况。</w:t>
            </w:r>
          </w:p>
        </w:tc>
      </w:tr>
    </w:tbl>
    <w:p>
      <w:pPr>
        <w:rPr>
          <w:rFonts w:ascii="仿宋" w:hAnsi="仿宋" w:eastAsia="仿宋" w:cs="仿宋"/>
          <w:sz w:val="24"/>
        </w:rPr>
      </w:pPr>
      <w:r>
        <w:rPr>
          <w:rFonts w:ascii="仿宋" w:hAnsi="仿宋" w:eastAsia="仿宋" w:cs="仿宋"/>
          <w:sz w:val="24"/>
        </w:rPr>
        <w:br w:type="page"/>
      </w:r>
    </w:p>
    <w:p>
      <w:pPr>
        <w:jc w:val="left"/>
        <w:rPr>
          <w:rFonts w:ascii="仿宋" w:hAnsi="仿宋" w:eastAsia="仿宋" w:cs="仿宋"/>
          <w:sz w:val="24"/>
        </w:rPr>
      </w:pPr>
      <w:r>
        <w:rPr>
          <w:rFonts w:hint="eastAsia" w:ascii="仿宋" w:hAnsi="仿宋" w:eastAsia="仿宋" w:cs="仿宋"/>
          <w:sz w:val="24"/>
        </w:rPr>
        <w:t>表六：一般公共预算财政拨款基本支出决算表</w:t>
      </w:r>
    </w:p>
    <w:p>
      <w:pPr>
        <w:jc w:val="left"/>
        <w:rPr>
          <w:rFonts w:ascii="仿宋" w:hAnsi="仿宋" w:eastAsia="仿宋" w:cs="仿宋"/>
          <w:sz w:val="24"/>
        </w:rPr>
      </w:pPr>
    </w:p>
    <w:tbl>
      <w:tblPr>
        <w:tblStyle w:val="7"/>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2"/>
                <w:szCs w:val="32"/>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371"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06"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28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347"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6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7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147"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309"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r>
              <w:rPr>
                <w:rFonts w:hint="eastAsia" w:ascii="宋体" w:hAnsi="宋体" w:eastAsia="宋体" w:cs="宋体"/>
                <w:color w:val="000000"/>
                <w:kern w:val="0"/>
                <w:sz w:val="20"/>
                <w:szCs w:val="20"/>
              </w:rPr>
              <w:t>部门：</w:t>
            </w:r>
            <w:r>
              <w:rPr>
                <w:rFonts w:ascii="宋体" w:hAnsi="宋体" w:eastAsia="宋体" w:cs="宋体"/>
                <w:color w:val="000000"/>
                <w:sz w:val="20"/>
              </w:rPr>
              <w:t>环江毛南族自治县第二幼儿园</w:t>
            </w:r>
          </w:p>
        </w:tc>
        <w:tc>
          <w:tcPr>
            <w:tcW w:w="1160" w:type="dxa"/>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1173" w:type="dxa"/>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3456" w:type="dxa"/>
            <w:gridSpan w:val="2"/>
            <w:tcBorders>
              <w:top w:val="nil"/>
              <w:left w:val="nil"/>
              <w:bottom w:val="single" w:color="auto" w:sz="4" w:space="0"/>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科目编码</w:t>
            </w:r>
          </w:p>
          <w:p>
            <w:pPr>
              <w:widowControl/>
              <w:jc w:val="center"/>
              <w:textAlignment w:val="center"/>
              <w:rPr>
                <w:rFonts w:ascii="宋体" w:hAnsi="宋体" w:eastAsia="宋体" w:cs="宋体"/>
                <w:color w:val="000000"/>
                <w:sz w:val="22"/>
                <w:szCs w:val="22"/>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决算数</w:t>
            </w:r>
          </w:p>
        </w:tc>
      </w:tr>
      <w:tr>
        <w:tblPrEx>
          <w:tblCellMar>
            <w:top w:w="0" w:type="dxa"/>
            <w:left w:w="108" w:type="dxa"/>
            <w:bottom w:w="0" w:type="dxa"/>
            <w:right w:w="108" w:type="dxa"/>
          </w:tblCellMar>
        </w:tblPrEx>
        <w:trPr>
          <w:trHeight w:val="90"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497"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sz w:val="22"/>
                <w:szCs w:val="22"/>
              </w:rPr>
              <w:t>314.71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sz w:val="22"/>
                <w:szCs w:val="22"/>
              </w:rPr>
              <w:t>4.45</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r>
      <w:tr>
        <w:tblPrEx>
          <w:tblCellMar>
            <w:top w:w="0" w:type="dxa"/>
            <w:left w:w="108" w:type="dxa"/>
            <w:bottom w:w="0" w:type="dxa"/>
            <w:right w:w="108" w:type="dxa"/>
          </w:tblCellMar>
        </w:tblPrEx>
        <w:trPr>
          <w:trHeight w:val="51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sz w:val="22"/>
                <w:szCs w:val="22"/>
              </w:rPr>
              <w:t>106.71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r>
      <w:tr>
        <w:tblPrEx>
          <w:tblCellMar>
            <w:top w:w="0" w:type="dxa"/>
            <w:left w:w="108" w:type="dxa"/>
            <w:bottom w:w="0" w:type="dxa"/>
            <w:right w:w="108" w:type="dxa"/>
          </w:tblCellMar>
        </w:tblPrEx>
        <w:trPr>
          <w:trHeight w:val="497"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sz w:val="22"/>
                <w:szCs w:val="22"/>
              </w:rPr>
              <w:t>9.31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r>
      <w:tr>
        <w:tblPrEx>
          <w:tblCellMar>
            <w:top w:w="0" w:type="dxa"/>
            <w:left w:w="108" w:type="dxa"/>
            <w:bottom w:w="0" w:type="dxa"/>
            <w:right w:w="108" w:type="dxa"/>
          </w:tblCellMar>
        </w:tblPrEx>
        <w:trPr>
          <w:trHeight w:val="51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sz w:val="22"/>
                <w:szCs w:val="22"/>
              </w:rPr>
              <w:t>74.80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r>
      <w:tr>
        <w:tblPrEx>
          <w:tblCellMar>
            <w:top w:w="0" w:type="dxa"/>
            <w:left w:w="108" w:type="dxa"/>
            <w:bottom w:w="0" w:type="dxa"/>
            <w:right w:w="108" w:type="dxa"/>
          </w:tblCellMar>
        </w:tblPrEx>
        <w:trPr>
          <w:trHeight w:val="481"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r>
      <w:tr>
        <w:tblPrEx>
          <w:tblCellMar>
            <w:top w:w="0" w:type="dxa"/>
            <w:left w:w="108" w:type="dxa"/>
            <w:bottom w:w="0" w:type="dxa"/>
            <w:right w:w="108" w:type="dxa"/>
          </w:tblCellMar>
        </w:tblPrEx>
        <w:trPr>
          <w:trHeight w:val="498"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sz w:val="22"/>
                <w:szCs w:val="22"/>
              </w:rPr>
              <w:t>54.59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sz w:val="22"/>
                <w:szCs w:val="22"/>
              </w:rPr>
              <w:t>31.80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r>
      <w:tr>
        <w:tblPrEx>
          <w:tblCellMar>
            <w:top w:w="0" w:type="dxa"/>
            <w:left w:w="108" w:type="dxa"/>
            <w:bottom w:w="0" w:type="dxa"/>
            <w:right w:w="108" w:type="dxa"/>
          </w:tblCellMar>
        </w:tblPrEx>
        <w:trPr>
          <w:trHeight w:val="497"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r>
      <w:tr>
        <w:tblPrEx>
          <w:tblCellMar>
            <w:top w:w="0" w:type="dxa"/>
            <w:left w:w="108" w:type="dxa"/>
            <w:bottom w:w="0" w:type="dxa"/>
            <w:right w:w="108" w:type="dxa"/>
          </w:tblCellMar>
        </w:tblPrEx>
        <w:trPr>
          <w:trHeight w:val="581"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sz w:val="22"/>
                <w:szCs w:val="22"/>
              </w:rPr>
              <w:t>12.81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r>
      <w:tr>
        <w:tblPrEx>
          <w:tblCellMar>
            <w:top w:w="0" w:type="dxa"/>
            <w:left w:w="108" w:type="dxa"/>
            <w:bottom w:w="0" w:type="dxa"/>
            <w:right w:w="108" w:type="dxa"/>
          </w:tblCellMar>
        </w:tblPrEx>
        <w:trPr>
          <w:trHeight w:val="430"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1.57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r>
      <w:tr>
        <w:tblPrEx>
          <w:tblCellMar>
            <w:top w:w="0" w:type="dxa"/>
            <w:left w:w="108" w:type="dxa"/>
            <w:bottom w:w="0" w:type="dxa"/>
            <w:right w:w="108" w:type="dxa"/>
          </w:tblCellMar>
        </w:tblPrEx>
        <w:trPr>
          <w:trHeight w:val="497"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23.12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r>
      <w:tr>
        <w:tblPrEx>
          <w:tblCellMar>
            <w:top w:w="0" w:type="dxa"/>
            <w:left w:w="108" w:type="dxa"/>
            <w:bottom w:w="0" w:type="dxa"/>
            <w:right w:w="108" w:type="dxa"/>
          </w:tblCellMar>
        </w:tblPrEx>
        <w:trPr>
          <w:trHeight w:val="547"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4.45</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rPr>
              <w:t>人员经费合计</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314.71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4.45</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注：本表反映部门本年度一般公共预算财政拨款基本支出明细情况。</w:t>
            </w:r>
          </w:p>
        </w:tc>
      </w:tr>
    </w:tbl>
    <w:p>
      <w:pPr>
        <w:jc w:val="left"/>
        <w:rPr>
          <w:rFonts w:ascii="仿宋" w:hAnsi="仿宋" w:eastAsia="仿宋" w:cs="仿宋"/>
          <w:sz w:val="24"/>
        </w:rPr>
      </w:pPr>
    </w:p>
    <w:p>
      <w:pPr>
        <w:rPr>
          <w:rFonts w:ascii="仿宋" w:hAnsi="仿宋" w:eastAsia="仿宋" w:cs="仿宋"/>
          <w:sz w:val="24"/>
        </w:rPr>
      </w:pPr>
    </w:p>
    <w:p>
      <w:pPr>
        <w:jc w:val="left"/>
        <w:rPr>
          <w:rFonts w:ascii="仿宋" w:hAnsi="仿宋" w:eastAsia="仿宋" w:cs="仿宋"/>
          <w:sz w:val="24"/>
        </w:rPr>
      </w:pPr>
      <w:r>
        <w:rPr>
          <w:rFonts w:hint="eastAsia" w:ascii="仿宋" w:hAnsi="仿宋" w:eastAsia="仿宋" w:cs="仿宋"/>
          <w:sz w:val="24"/>
        </w:rPr>
        <w:t>表七：政府性基金预算财政拨款收入支出决算表</w:t>
      </w:r>
    </w:p>
    <w:p>
      <w:pPr>
        <w:jc w:val="left"/>
        <w:rPr>
          <w:rFonts w:ascii="仿宋" w:hAnsi="仿宋" w:eastAsia="仿宋" w:cs="仿宋"/>
          <w:sz w:val="24"/>
        </w:rPr>
      </w:pPr>
    </w:p>
    <w:tbl>
      <w:tblPr>
        <w:tblStyle w:val="7"/>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30"/>
        <w:gridCol w:w="1948"/>
      </w:tblGrid>
      <w:tr>
        <w:tblPrEx>
          <w:tblCellMar>
            <w:top w:w="0" w:type="dxa"/>
            <w:left w:w="108" w:type="dxa"/>
            <w:bottom w:w="0" w:type="dxa"/>
            <w:right w:w="108" w:type="dxa"/>
          </w:tblCellMar>
        </w:tblPrEx>
        <w:trPr>
          <w:trHeight w:val="536" w:hRule="atLeast"/>
        </w:trPr>
        <w:tc>
          <w:tcPr>
            <w:tcW w:w="13980" w:type="dxa"/>
            <w:gridSpan w:val="10"/>
            <w:tcBorders>
              <w:top w:val="nil"/>
              <w:left w:val="nil"/>
              <w:bottom w:val="nil"/>
              <w:right w:val="nil"/>
            </w:tcBorders>
            <w:shd w:val="clear" w:color="auto" w:fill="auto"/>
            <w:noWrap/>
            <w:vAlign w:val="bottom"/>
          </w:tcPr>
          <w:p>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2"/>
                <w:szCs w:val="32"/>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4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36"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625"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97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65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60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68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73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948"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公开07表</w:t>
            </w:r>
          </w:p>
        </w:tc>
      </w:tr>
      <w:tr>
        <w:tblPrEx>
          <w:tblCellMar>
            <w:top w:w="0" w:type="dxa"/>
            <w:left w:w="108" w:type="dxa"/>
            <w:bottom w:w="0" w:type="dxa"/>
            <w:right w:w="108" w:type="dxa"/>
          </w:tblCellMar>
        </w:tblPrEx>
        <w:trPr>
          <w:trHeight w:val="268" w:hRule="atLeast"/>
        </w:trPr>
        <w:tc>
          <w:tcPr>
            <w:tcW w:w="8624" w:type="dxa"/>
            <w:gridSpan w:val="7"/>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r>
              <w:rPr>
                <w:rFonts w:hint="eastAsia" w:ascii="宋体" w:hAnsi="宋体" w:eastAsia="宋体" w:cs="宋体"/>
                <w:color w:val="000000"/>
                <w:kern w:val="0"/>
                <w:sz w:val="20"/>
                <w:szCs w:val="20"/>
              </w:rPr>
              <w:t>部门：</w:t>
            </w:r>
            <w:r>
              <w:rPr>
                <w:rFonts w:ascii="宋体" w:hAnsi="宋体" w:eastAsia="宋体" w:cs="宋体"/>
                <w:color w:val="000000"/>
                <w:sz w:val="20"/>
              </w:rPr>
              <w:t>环江毛南族自治县第二幼儿园</w:t>
            </w:r>
          </w:p>
        </w:tc>
        <w:tc>
          <w:tcPr>
            <w:tcW w:w="1680" w:type="dxa"/>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1728" w:type="dxa"/>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1948" w:type="dxa"/>
            <w:tcBorders>
              <w:top w:val="nil"/>
              <w:left w:val="nil"/>
              <w:bottom w:val="single" w:color="auto" w:sz="4" w:space="0"/>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108" w:type="dxa"/>
            <w:bottom w:w="0" w:type="dxa"/>
            <w:right w:w="108" w:type="dxa"/>
          </w:tblCellMar>
        </w:tblPrEx>
        <w:trPr>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本年支出</w:t>
            </w:r>
          </w:p>
        </w:tc>
        <w:tc>
          <w:tcPr>
            <w:tcW w:w="194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年末结转和结余</w:t>
            </w:r>
          </w:p>
        </w:tc>
      </w:tr>
      <w:tr>
        <w:tblPrEx>
          <w:tblCellMar>
            <w:top w:w="0" w:type="dxa"/>
            <w:left w:w="108" w:type="dxa"/>
            <w:bottom w:w="0" w:type="dxa"/>
            <w:right w:w="108" w:type="dxa"/>
          </w:tblCellMar>
        </w:tblPrEx>
        <w:trPr>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项目支出</w:t>
            </w:r>
          </w:p>
        </w:tc>
        <w:tc>
          <w:tcPr>
            <w:tcW w:w="19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9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9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c>
          <w:tcPr>
            <w:tcW w:w="19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w:t>
            </w:r>
          </w:p>
        </w:tc>
      </w:tr>
      <w:tr>
        <w:tblPrEx>
          <w:tblCellMar>
            <w:top w:w="0" w:type="dxa"/>
            <w:left w:w="108" w:type="dxa"/>
            <w:bottom w:w="0" w:type="dxa"/>
            <w:right w:w="108" w:type="dxa"/>
          </w:tblCellMar>
        </w:tblPrEx>
        <w:trPr>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p>
        </w:tc>
        <w:tc>
          <w:tcPr>
            <w:tcW w:w="194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p>
        </w:tc>
      </w:tr>
      <w:tr>
        <w:tblPrEx>
          <w:tblCellMar>
            <w:top w:w="0" w:type="dxa"/>
            <w:left w:w="108" w:type="dxa"/>
            <w:bottom w:w="0" w:type="dxa"/>
            <w:right w:w="108" w:type="dxa"/>
          </w:tblCellMar>
        </w:tblPrEx>
        <w:trPr>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sz w:val="22"/>
                <w:szCs w:val="22"/>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sz w:val="22"/>
                <w:szCs w:val="22"/>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c>
          <w:tcPr>
            <w:tcW w:w="194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r>
      <w:tr>
        <w:tblPrEx>
          <w:tblCellMar>
            <w:top w:w="0" w:type="dxa"/>
            <w:left w:w="108" w:type="dxa"/>
            <w:bottom w:w="0" w:type="dxa"/>
            <w:right w:w="108" w:type="dxa"/>
          </w:tblCellMar>
        </w:tblPrEx>
        <w:trPr>
          <w:trHeight w:val="277" w:hRule="atLeast"/>
        </w:trPr>
        <w:tc>
          <w:tcPr>
            <w:tcW w:w="13980" w:type="dxa"/>
            <w:gridSpan w:val="10"/>
            <w:tcBorders>
              <w:top w:val="nil"/>
              <w:left w:val="nil"/>
              <w:bottom w:val="nil"/>
              <w:right w:val="nil"/>
            </w:tcBorders>
            <w:shd w:val="clear" w:color="auto" w:fill="auto"/>
            <w:noWrap/>
            <w:vAlign w:val="center"/>
          </w:tcPr>
          <w:p>
            <w:pPr>
              <w:widowControl/>
              <w:jc w:val="left"/>
              <w:textAlignment w:val="center"/>
              <w:rPr>
                <w:rFonts w:ascii="宋体" w:hAnsi="宋体" w:eastAsia="宋体" w:cs="宋体"/>
                <w:kern w:val="0"/>
                <w:sz w:val="22"/>
                <w:szCs w:val="22"/>
              </w:rPr>
            </w:pPr>
            <w:r>
              <w:rPr>
                <w:rFonts w:hint="eastAsia" w:ascii="宋体" w:hAnsi="宋体" w:eastAsia="宋体" w:cs="宋体"/>
                <w:color w:val="000000"/>
                <w:kern w:val="0"/>
                <w:sz w:val="22"/>
                <w:szCs w:val="22"/>
              </w:rPr>
              <w:t>注：本表反映部门本年度政府性基金预算财政拨款收入、支出及结转和结余情况。</w:t>
            </w:r>
          </w:p>
          <w:p>
            <w:r>
              <w:rPr>
                <w:rFonts w:hint="eastAsia" w:ascii="宋体" w:hAnsi="宋体" w:eastAsia="宋体" w:cs="宋体"/>
                <w:szCs w:val="21"/>
              </w:rPr>
              <w:t>本部门</w:t>
            </w:r>
            <w:r>
              <w:rPr>
                <w:rFonts w:hint="eastAsia" w:ascii="Times New Roman" w:hAnsi="Times New Roman" w:eastAsia="宋体" w:cs="Times New Roman"/>
                <w:szCs w:val="21"/>
              </w:rPr>
              <w:t>2023</w:t>
            </w:r>
            <w:r>
              <w:rPr>
                <w:rFonts w:hint="eastAsia" w:ascii="宋体" w:hAnsi="宋体" w:eastAsia="宋体" w:cs="宋体"/>
                <w:szCs w:val="21"/>
              </w:rPr>
              <w:t>年度没有政府性基金预算财政拨款收入，也没有政府性基金预算财政拨款安排的支出，故本表无数据。</w:t>
            </w:r>
          </w:p>
          <w:p>
            <w:pPr>
              <w:widowControl/>
              <w:jc w:val="left"/>
              <w:textAlignment w:val="center"/>
              <w:rPr>
                <w:rFonts w:ascii="宋体" w:hAnsi="宋体" w:eastAsia="宋体" w:cs="宋体"/>
                <w:color w:val="000000"/>
                <w:kern w:val="0"/>
                <w:sz w:val="22"/>
                <w:szCs w:val="22"/>
              </w:rPr>
            </w:pPr>
          </w:p>
        </w:tc>
      </w:tr>
    </w:tbl>
    <w:p>
      <w:pPr>
        <w:rPr>
          <w:rFonts w:ascii="仿宋" w:hAnsi="仿宋" w:eastAsia="仿宋" w:cs="仿宋"/>
          <w:sz w:val="24"/>
        </w:rPr>
      </w:pPr>
      <w:r>
        <w:rPr>
          <w:rFonts w:hint="eastAsia" w:ascii="仿宋" w:hAnsi="仿宋" w:eastAsia="仿宋" w:cs="仿宋"/>
          <w:sz w:val="24"/>
        </w:rPr>
        <w:t>表八：国有资本经营预算财政拨款支出决算表</w:t>
      </w:r>
    </w:p>
    <w:p>
      <w:pPr>
        <w:jc w:val="left"/>
        <w:rPr>
          <w:rFonts w:ascii="仿宋" w:hAnsi="仿宋" w:eastAsia="仿宋" w:cs="仿宋"/>
          <w:sz w:val="24"/>
        </w:rPr>
      </w:pPr>
    </w:p>
    <w:tbl>
      <w:tblPr>
        <w:tblStyle w:val="7"/>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2"/>
                <w:szCs w:val="32"/>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85"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6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96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99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135"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065"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公开08表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rPr>
                <w:rFonts w:ascii="Arial" w:hAnsi="Arial" w:cs="Arial"/>
                <w:color w:val="000000"/>
                <w:sz w:val="20"/>
                <w:szCs w:val="20"/>
              </w:rPr>
            </w:pPr>
            <w:r>
              <w:rPr>
                <w:rFonts w:hint="eastAsia" w:ascii="宋体" w:hAnsi="宋体" w:eastAsia="宋体" w:cs="宋体"/>
                <w:color w:val="000000"/>
                <w:kern w:val="0"/>
                <w:sz w:val="20"/>
                <w:szCs w:val="20"/>
              </w:rPr>
              <w:t>部门：</w:t>
            </w:r>
            <w:r>
              <w:rPr>
                <w:rFonts w:ascii="宋体" w:hAnsi="宋体" w:eastAsia="宋体" w:cs="宋体"/>
                <w:color w:val="000000"/>
                <w:sz w:val="20"/>
              </w:rPr>
              <w:t>环江毛南族自治县第二幼儿园</w:t>
            </w:r>
          </w:p>
        </w:tc>
        <w:tc>
          <w:tcPr>
            <w:tcW w:w="3135"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065"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c>
          <w:tcPr>
            <w:tcW w:w="2993"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3135"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3065"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c>
          <w:tcPr>
            <w:tcW w:w="2993"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3135"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3065"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栏次</w:t>
            </w:r>
          </w:p>
        </w:tc>
        <w:tc>
          <w:tcPr>
            <w:tcW w:w="2993"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3135"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3065"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合计</w:t>
            </w:r>
          </w:p>
        </w:tc>
        <w:tc>
          <w:tcPr>
            <w:tcW w:w="29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b/>
                <w:bCs/>
                <w:color w:val="000000"/>
                <w:sz w:val="22"/>
                <w:szCs w:val="22"/>
              </w:rPr>
            </w:pPr>
          </w:p>
        </w:tc>
        <w:tc>
          <w:tcPr>
            <w:tcW w:w="31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b/>
                <w:bCs/>
                <w:color w:val="000000"/>
                <w:sz w:val="22"/>
                <w:szCs w:val="22"/>
              </w:rPr>
            </w:pPr>
          </w:p>
        </w:tc>
        <w:tc>
          <w:tcPr>
            <w:tcW w:w="306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b/>
                <w:bCs/>
                <w:color w:val="000000"/>
                <w:sz w:val="22"/>
                <w:szCs w:val="22"/>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szCs w:val="22"/>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szCs w:val="22"/>
              </w:rPr>
            </w:pPr>
          </w:p>
        </w:tc>
        <w:tc>
          <w:tcPr>
            <w:tcW w:w="29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p>
        </w:tc>
        <w:tc>
          <w:tcPr>
            <w:tcW w:w="31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p>
        </w:tc>
        <w:tc>
          <w:tcPr>
            <w:tcW w:w="306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p>
        </w:tc>
      </w:tr>
    </w:tbl>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注：本表反映部门本年度国有资本经营预算财政拨款支出情况。</w:t>
      </w:r>
    </w:p>
    <w:p>
      <w:r>
        <w:rPr>
          <w:rFonts w:hint="eastAsia" w:ascii="宋体" w:hAnsi="宋体" w:eastAsia="宋体" w:cs="宋体"/>
          <w:szCs w:val="21"/>
        </w:rPr>
        <w:t>说明“本部门</w:t>
      </w:r>
      <w:r>
        <w:rPr>
          <w:rFonts w:hint="eastAsia" w:ascii="Times New Roman" w:hAnsi="Times New Roman" w:eastAsia="宋体" w:cs="Times New Roman"/>
          <w:szCs w:val="21"/>
        </w:rPr>
        <w:t>2023</w:t>
      </w:r>
      <w:r>
        <w:rPr>
          <w:rFonts w:hint="eastAsia" w:ascii="宋体" w:hAnsi="宋体" w:eastAsia="宋体" w:cs="宋体"/>
          <w:szCs w:val="21"/>
        </w:rPr>
        <w:t>年度没有政府性基金预算财政拨款收入，也没有政府性基金预算财政拨款安排的支出，故本表无数据”。</w:t>
      </w:r>
    </w:p>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br w:type="page"/>
      </w:r>
    </w:p>
    <w:tbl>
      <w:tblPr>
        <w:tblStyle w:val="7"/>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widowControl/>
              <w:jc w:val="left"/>
              <w:textAlignment w:val="center"/>
              <w:rPr>
                <w:rFonts w:ascii="宋体" w:hAnsi="宋体" w:eastAsia="宋体" w:cs="宋体"/>
                <w:color w:val="000000"/>
                <w:kern w:val="0"/>
                <w:sz w:val="22"/>
                <w:szCs w:val="22"/>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jc w:val="left"/>
              <w:rPr>
                <w:rFonts w:ascii="仿宋" w:hAnsi="仿宋" w:eastAsia="仿宋" w:cs="仿宋"/>
                <w:sz w:val="24"/>
              </w:rPr>
            </w:pPr>
            <w:r>
              <w:rPr>
                <w:rFonts w:hint="eastAsia" w:ascii="仿宋" w:hAnsi="仿宋" w:eastAsia="仿宋" w:cs="仿宋"/>
                <w:sz w:val="24"/>
              </w:rPr>
              <w:t>表九：财政拨款“三公”经费支出决算表</w:t>
            </w:r>
          </w:p>
          <w:p>
            <w:pPr>
              <w:widowControl/>
              <w:jc w:val="center"/>
              <w:textAlignment w:val="bottom"/>
              <w:rPr>
                <w:rFonts w:ascii="宋体" w:hAnsi="宋体" w:eastAsia="宋体" w:cs="宋体"/>
                <w:color w:val="000000"/>
                <w:kern w:val="0"/>
                <w:sz w:val="30"/>
                <w:szCs w:val="30"/>
              </w:rPr>
            </w:pPr>
          </w:p>
          <w:p>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2"/>
                <w:szCs w:val="32"/>
              </w:rPr>
              <w:t>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425"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094"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59"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3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04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066"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61"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05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48"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3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073"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公开09表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rPr>
                <w:rFonts w:ascii="Arial" w:hAnsi="Arial" w:cs="Arial"/>
                <w:color w:val="000000"/>
                <w:sz w:val="20"/>
                <w:szCs w:val="20"/>
              </w:rPr>
            </w:pPr>
            <w:r>
              <w:rPr>
                <w:rFonts w:hint="eastAsia" w:ascii="宋体" w:hAnsi="宋体" w:eastAsia="宋体" w:cs="宋体"/>
                <w:color w:val="000000"/>
                <w:kern w:val="0"/>
                <w:sz w:val="20"/>
                <w:szCs w:val="20"/>
              </w:rPr>
              <w:t>部门：</w:t>
            </w:r>
            <w:r>
              <w:rPr>
                <w:rFonts w:ascii="宋体" w:hAnsi="宋体" w:eastAsia="宋体" w:cs="宋体"/>
                <w:color w:val="000000"/>
                <w:sz w:val="20"/>
              </w:rPr>
              <w:t>环江毛南族自治县第四幼儿园</w:t>
            </w:r>
          </w:p>
        </w:tc>
        <w:tc>
          <w:tcPr>
            <w:tcW w:w="1066"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61"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05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48"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206" w:type="dxa"/>
            <w:gridSpan w:val="2"/>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425"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094"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小计</w:t>
            </w:r>
          </w:p>
        </w:tc>
        <w:tc>
          <w:tcPr>
            <w:tcW w:w="1159"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066"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61"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05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小计</w:t>
            </w:r>
          </w:p>
        </w:tc>
        <w:tc>
          <w:tcPr>
            <w:tcW w:w="1148"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p>
            <w:pPr>
              <w:widowControl/>
              <w:jc w:val="center"/>
              <w:textAlignment w:val="center"/>
              <w:rPr>
                <w:rFonts w:ascii="宋体" w:hAnsi="宋体" w:eastAsia="宋体" w:cs="宋体"/>
                <w:color w:val="000000"/>
                <w:sz w:val="22"/>
                <w:szCs w:val="22"/>
              </w:rPr>
            </w:pPr>
          </w:p>
        </w:tc>
        <w:tc>
          <w:tcPr>
            <w:tcW w:w="142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1094"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c>
          <w:tcPr>
            <w:tcW w:w="1159"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w:t>
            </w:r>
          </w:p>
        </w:tc>
        <w:tc>
          <w:tcPr>
            <w:tcW w:w="113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c>
          <w:tcPr>
            <w:tcW w:w="1040"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w:t>
            </w:r>
          </w:p>
        </w:tc>
        <w:tc>
          <w:tcPr>
            <w:tcW w:w="1066"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w:t>
            </w:r>
          </w:p>
        </w:tc>
        <w:tc>
          <w:tcPr>
            <w:tcW w:w="1161"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w:t>
            </w:r>
          </w:p>
        </w:tc>
        <w:tc>
          <w:tcPr>
            <w:tcW w:w="105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9</w:t>
            </w:r>
          </w:p>
        </w:tc>
        <w:tc>
          <w:tcPr>
            <w:tcW w:w="1148"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w:t>
            </w:r>
          </w:p>
        </w:tc>
        <w:tc>
          <w:tcPr>
            <w:tcW w:w="113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11</w:t>
            </w:r>
          </w:p>
        </w:tc>
        <w:tc>
          <w:tcPr>
            <w:tcW w:w="107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c>
          <w:tcPr>
            <w:tcW w:w="142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p>
        </w:tc>
        <w:tc>
          <w:tcPr>
            <w:tcW w:w="109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p>
        </w:tc>
        <w:tc>
          <w:tcPr>
            <w:tcW w:w="11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p>
        </w:tc>
        <w:tc>
          <w:tcPr>
            <w:tcW w:w="113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p>
        </w:tc>
        <w:tc>
          <w:tcPr>
            <w:tcW w:w="104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c>
          <w:tcPr>
            <w:tcW w:w="1066"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c>
          <w:tcPr>
            <w:tcW w:w="116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p>
        </w:tc>
        <w:tc>
          <w:tcPr>
            <w:tcW w:w="105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p>
        </w:tc>
        <w:tc>
          <w:tcPr>
            <w:tcW w:w="114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p>
        </w:tc>
        <w:tc>
          <w:tcPr>
            <w:tcW w:w="1133" w:type="dxa"/>
            <w:tcBorders>
              <w:top w:val="nil"/>
              <w:left w:val="nil"/>
              <w:bottom w:val="single" w:color="000000" w:sz="4" w:space="0"/>
              <w:right w:val="single" w:color="000000" w:sz="4" w:space="0"/>
            </w:tcBorders>
            <w:shd w:val="clear" w:color="auto" w:fill="auto"/>
            <w:noWrap/>
          </w:tcPr>
          <w:p>
            <w:pPr>
              <w:jc w:val="right"/>
            </w:pPr>
          </w:p>
        </w:tc>
        <w:tc>
          <w:tcPr>
            <w:tcW w:w="1073" w:type="dxa"/>
            <w:tcBorders>
              <w:top w:val="nil"/>
              <w:left w:val="nil"/>
              <w:bottom w:val="single" w:color="000000" w:sz="4" w:space="0"/>
              <w:right w:val="single" w:color="000000" w:sz="4" w:space="0"/>
            </w:tcBorders>
            <w:shd w:val="clear" w:color="auto" w:fill="auto"/>
            <w:noWrap/>
          </w:tcPr>
          <w:p>
            <w:pPr>
              <w:jc w:val="right"/>
            </w:pP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注：本表反映部门本年度“三公”经费支出预决算情况。其中，预算数为“三公”经费全年预算数，反映按规定程序调整后的预算数；决算数是包括当年一般公共预算财政拨款和以前年度结转资金安排的实际支出。</w:t>
            </w:r>
          </w:p>
          <w:p>
            <w:r>
              <w:rPr>
                <w:rFonts w:hint="eastAsia" w:ascii="宋体" w:hAnsi="宋体" w:eastAsia="宋体" w:cs="宋体"/>
                <w:szCs w:val="21"/>
              </w:rPr>
              <w:t>说明“本部门</w:t>
            </w:r>
            <w:r>
              <w:rPr>
                <w:rFonts w:hint="eastAsia" w:ascii="Times New Roman" w:hAnsi="Times New Roman" w:eastAsia="宋体" w:cs="Times New Roman"/>
                <w:szCs w:val="21"/>
              </w:rPr>
              <w:t>2023</w:t>
            </w:r>
            <w:r>
              <w:rPr>
                <w:rFonts w:hint="eastAsia" w:ascii="宋体" w:hAnsi="宋体" w:eastAsia="宋体" w:cs="宋体"/>
                <w:szCs w:val="21"/>
              </w:rPr>
              <w:t>年度没有政府性基金预算财政拨款收入，也没有政府性基金预算财政拨款安排的支出，故本表无数据”。</w:t>
            </w:r>
          </w:p>
          <w:p>
            <w:pPr>
              <w:widowControl/>
              <w:jc w:val="left"/>
              <w:textAlignment w:val="center"/>
              <w:rPr>
                <w:rFonts w:ascii="宋体" w:hAnsi="宋体" w:eastAsia="宋体" w:cs="宋体"/>
                <w:color w:val="000000"/>
                <w:kern w:val="0"/>
                <w:sz w:val="22"/>
                <w:szCs w:val="22"/>
              </w:rPr>
            </w:pPr>
          </w:p>
        </w:tc>
      </w:tr>
    </w:tbl>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sectPr>
          <w:pgSz w:w="16838" w:h="11906" w:orient="landscape"/>
          <w:pgMar w:top="1418" w:right="1440" w:bottom="1418" w:left="1440" w:header="851" w:footer="992" w:gutter="0"/>
          <w:cols w:space="0" w:num="1"/>
          <w:docGrid w:type="lines" w:linePitch="312" w:charSpace="0"/>
        </w:sectPr>
      </w:pPr>
    </w:p>
    <w:p>
      <w:pPr>
        <w:jc w:val="center"/>
        <w:rPr>
          <w:rFonts w:ascii="仿宋" w:hAnsi="仿宋" w:eastAsia="仿宋" w:cs="仿宋"/>
          <w:sz w:val="32"/>
          <w:szCs w:val="32"/>
        </w:rPr>
      </w:pPr>
      <w:r>
        <w:rPr>
          <w:rFonts w:hint="eastAsia" w:ascii="黑体" w:hAnsi="黑体" w:eastAsia="黑体" w:cs="黑体"/>
          <w:sz w:val="32"/>
          <w:szCs w:val="32"/>
        </w:rPr>
        <w:t>第三部分：</w:t>
      </w:r>
      <w:r>
        <w:rPr>
          <w:rFonts w:ascii="黑体" w:hAnsi="黑体" w:eastAsia="黑体" w:cs="黑体"/>
          <w:sz w:val="32"/>
        </w:rPr>
        <w:t>环江毛南族自治县第二幼儿园</w:t>
      </w:r>
      <w:r>
        <w:rPr>
          <w:rFonts w:hint="eastAsia" w:ascii="黑体" w:hAnsi="黑体" w:eastAsia="黑体" w:cs="黑体"/>
          <w:sz w:val="32"/>
          <w:szCs w:val="32"/>
        </w:rPr>
        <w:t>2023年度部门决算情况说明</w:t>
      </w:r>
    </w:p>
    <w:p>
      <w:pPr>
        <w:jc w:val="left"/>
        <w:rPr>
          <w:rFonts w:ascii="黑体" w:hAnsi="黑体" w:eastAsia="黑体" w:cs="黑体"/>
          <w:sz w:val="32"/>
          <w:szCs w:val="32"/>
        </w:rPr>
      </w:pPr>
      <w:r>
        <w:rPr>
          <w:rFonts w:hint="eastAsia" w:ascii="黑体" w:hAnsi="黑体" w:eastAsia="黑体" w:cs="黑体"/>
          <w:sz w:val="32"/>
          <w:szCs w:val="32"/>
        </w:rPr>
        <w:t>一、2023年度收入支出决算总体情况</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（一）本部门2023年度总收入</w:t>
      </w:r>
      <w:r>
        <w:rPr>
          <w:rFonts w:hint="eastAsia" w:ascii="仿宋" w:hAnsi="仿宋" w:eastAsia="仿宋" w:cs="仿宋"/>
          <w:sz w:val="32"/>
        </w:rPr>
        <w:t>523.24</w:t>
      </w:r>
      <w:r>
        <w:rPr>
          <w:rFonts w:hint="eastAsia" w:ascii="仿宋" w:hAnsi="仿宋" w:eastAsia="仿宋" w:cs="仿宋"/>
          <w:sz w:val="32"/>
          <w:szCs w:val="32"/>
        </w:rPr>
        <w:t>万元，较2022年度决算数</w:t>
      </w:r>
      <w:r>
        <w:rPr>
          <w:rFonts w:ascii="仿宋" w:hAnsi="仿宋" w:eastAsia="仿宋" w:cs="仿宋"/>
          <w:sz w:val="32"/>
        </w:rPr>
        <w:t>增加</w:t>
      </w:r>
      <w:r>
        <w:rPr>
          <w:rFonts w:hint="eastAsia" w:ascii="仿宋" w:hAnsi="仿宋" w:eastAsia="仿宋" w:cs="仿宋"/>
          <w:sz w:val="32"/>
        </w:rPr>
        <w:t>77.91</w:t>
      </w:r>
      <w:r>
        <w:rPr>
          <w:rFonts w:hint="eastAsia" w:ascii="仿宋" w:hAnsi="仿宋" w:eastAsia="仿宋" w:cs="仿宋"/>
          <w:sz w:val="32"/>
          <w:szCs w:val="32"/>
        </w:rPr>
        <w:t>万元，</w:t>
      </w:r>
      <w:r>
        <w:rPr>
          <w:rFonts w:ascii="仿宋" w:hAnsi="仿宋" w:eastAsia="仿宋" w:cs="仿宋"/>
          <w:sz w:val="32"/>
        </w:rPr>
        <w:t>增长</w:t>
      </w:r>
      <w:r>
        <w:rPr>
          <w:rFonts w:hint="eastAsia" w:ascii="仿宋" w:hAnsi="仿宋" w:eastAsia="仿宋" w:cs="仿宋"/>
          <w:sz w:val="32"/>
        </w:rPr>
        <w:t>17.49</w:t>
      </w:r>
      <w:r>
        <w:rPr>
          <w:rFonts w:ascii="仿宋" w:hAnsi="仿宋" w:eastAsia="仿宋" w:cs="仿宋"/>
          <w:sz w:val="32"/>
        </w:rPr>
        <w:t>%</w:t>
      </w:r>
      <w:r>
        <w:rPr>
          <w:rFonts w:hint="eastAsia" w:ascii="仿宋" w:hAnsi="仿宋" w:eastAsia="仿宋" w:cs="仿宋"/>
          <w:sz w:val="32"/>
          <w:szCs w:val="32"/>
        </w:rPr>
        <w:t>，其中本年收入</w:t>
      </w:r>
      <w:r>
        <w:rPr>
          <w:rFonts w:hint="eastAsia" w:ascii="仿宋" w:hAnsi="仿宋" w:eastAsia="仿宋" w:cs="仿宋"/>
          <w:sz w:val="32"/>
        </w:rPr>
        <w:t>523.24</w:t>
      </w:r>
      <w:r>
        <w:rPr>
          <w:rFonts w:hint="eastAsia" w:ascii="仿宋" w:hAnsi="仿宋" w:eastAsia="仿宋" w:cs="仿宋"/>
          <w:sz w:val="32"/>
          <w:szCs w:val="32"/>
        </w:rPr>
        <w:t>万元。收入具体情况如下。</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1.一般公共预算财政拨款收入</w:t>
      </w:r>
      <w:r>
        <w:rPr>
          <w:rFonts w:hint="eastAsia" w:ascii="仿宋" w:hAnsi="仿宋" w:eastAsia="仿宋" w:cs="仿宋"/>
          <w:sz w:val="32"/>
        </w:rPr>
        <w:t>523.24</w:t>
      </w:r>
      <w:r>
        <w:rPr>
          <w:rFonts w:hint="eastAsia" w:ascii="仿宋" w:hAnsi="仿宋" w:eastAsia="仿宋" w:cs="仿宋"/>
          <w:sz w:val="32"/>
          <w:szCs w:val="32"/>
        </w:rPr>
        <w:t>万元，为环江毛南族自治县本级财政当年拨付的资金。较2022年度决算数</w:t>
      </w:r>
      <w:r>
        <w:rPr>
          <w:rFonts w:ascii="仿宋" w:hAnsi="仿宋" w:eastAsia="仿宋" w:cs="仿宋"/>
          <w:sz w:val="32"/>
        </w:rPr>
        <w:t>增加</w:t>
      </w:r>
      <w:r>
        <w:rPr>
          <w:rFonts w:hint="eastAsia" w:ascii="仿宋" w:hAnsi="仿宋" w:eastAsia="仿宋" w:cs="仿宋"/>
          <w:sz w:val="32"/>
        </w:rPr>
        <w:t>77.91</w:t>
      </w:r>
      <w:r>
        <w:rPr>
          <w:rFonts w:hint="eastAsia" w:ascii="仿宋" w:hAnsi="仿宋" w:eastAsia="仿宋" w:cs="仿宋"/>
          <w:sz w:val="32"/>
          <w:szCs w:val="32"/>
        </w:rPr>
        <w:t>万元，</w:t>
      </w:r>
      <w:r>
        <w:rPr>
          <w:rFonts w:ascii="仿宋" w:hAnsi="仿宋" w:eastAsia="仿宋" w:cs="仿宋"/>
          <w:sz w:val="32"/>
        </w:rPr>
        <w:t>增长</w:t>
      </w:r>
      <w:r>
        <w:rPr>
          <w:rFonts w:hint="eastAsia" w:ascii="仿宋" w:hAnsi="仿宋" w:eastAsia="仿宋" w:cs="仿宋"/>
          <w:sz w:val="32"/>
        </w:rPr>
        <w:t>17.49</w:t>
      </w:r>
      <w:r>
        <w:rPr>
          <w:rFonts w:ascii="仿宋" w:hAnsi="仿宋" w:eastAsia="仿宋" w:cs="仿宋"/>
          <w:sz w:val="32"/>
        </w:rPr>
        <w:t>%</w:t>
      </w:r>
      <w:r>
        <w:rPr>
          <w:rFonts w:hint="eastAsia" w:ascii="仿宋" w:hAnsi="仿宋" w:eastAsia="仿宋" w:cs="仿宋"/>
          <w:sz w:val="32"/>
          <w:szCs w:val="32"/>
        </w:rPr>
        <w:t>，主要原因：本部门2023年度新公招8名教师控制数；2023年度调整工资标准。</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2.政府性基金预算财政拨款收入</w:t>
      </w:r>
      <w:r>
        <w:rPr>
          <w:rFonts w:ascii="仿宋" w:hAnsi="仿宋" w:eastAsia="仿宋" w:cs="仿宋"/>
          <w:sz w:val="32"/>
        </w:rPr>
        <w:t>0.00</w:t>
      </w:r>
      <w:r>
        <w:rPr>
          <w:rFonts w:hint="eastAsia" w:ascii="仿宋" w:hAnsi="仿宋" w:eastAsia="仿宋" w:cs="仿宋"/>
          <w:sz w:val="32"/>
          <w:szCs w:val="32"/>
        </w:rPr>
        <w:t>万元，为环江毛南族自治县本级财政当年拨付的资金。较2022年度决算数</w:t>
      </w:r>
      <w:r>
        <w:rPr>
          <w:rFonts w:ascii="仿宋" w:hAnsi="仿宋" w:eastAsia="仿宋" w:cs="仿宋"/>
          <w:sz w:val="32"/>
        </w:rPr>
        <w:t>增加0.00</w:t>
      </w:r>
      <w:r>
        <w:rPr>
          <w:rFonts w:hint="eastAsia" w:ascii="仿宋" w:hAnsi="仿宋" w:eastAsia="仿宋" w:cs="仿宋"/>
          <w:sz w:val="32"/>
          <w:szCs w:val="32"/>
        </w:rPr>
        <w:t>万元，</w:t>
      </w:r>
      <w:r>
        <w:rPr>
          <w:rFonts w:ascii="仿宋" w:hAnsi="仿宋" w:eastAsia="仿宋" w:cs="仿宋"/>
          <w:sz w:val="32"/>
        </w:rPr>
        <w:t>增长0%</w:t>
      </w:r>
      <w:r>
        <w:rPr>
          <w:rFonts w:hint="eastAsia" w:ascii="仿宋" w:hAnsi="仿宋" w:eastAsia="仿宋" w:cs="仿宋"/>
          <w:sz w:val="32"/>
          <w:szCs w:val="32"/>
        </w:rPr>
        <w:t>，主要原因：</w:t>
      </w:r>
      <w:r>
        <w:rPr>
          <w:rFonts w:hint="eastAsia" w:ascii="仿宋" w:hAnsi="仿宋" w:eastAsia="仿宋" w:cs="Times New Roman"/>
          <w:sz w:val="32"/>
          <w:szCs w:val="32"/>
        </w:rPr>
        <w:t>本单位2023年没有政府性基金预算财政拨款资金收入。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3.国有资本经营预算财政拨款收入</w:t>
      </w:r>
      <w:r>
        <w:rPr>
          <w:rFonts w:ascii="仿宋" w:hAnsi="仿宋" w:eastAsia="仿宋" w:cs="仿宋"/>
          <w:sz w:val="32"/>
        </w:rPr>
        <w:t>0.00</w:t>
      </w:r>
      <w:r>
        <w:rPr>
          <w:rFonts w:hint="eastAsia" w:ascii="仿宋" w:hAnsi="仿宋" w:eastAsia="仿宋" w:cs="仿宋"/>
          <w:sz w:val="32"/>
          <w:szCs w:val="32"/>
        </w:rPr>
        <w:t>万元。为环江毛南族自治县本级财政当年拨付的资金。较2022年度决算数</w:t>
      </w:r>
      <w:r>
        <w:rPr>
          <w:rFonts w:ascii="仿宋" w:hAnsi="仿宋" w:eastAsia="仿宋" w:cs="仿宋"/>
          <w:sz w:val="32"/>
        </w:rPr>
        <w:t>增加0.00</w:t>
      </w:r>
      <w:r>
        <w:rPr>
          <w:rFonts w:hint="eastAsia" w:ascii="仿宋" w:hAnsi="仿宋" w:eastAsia="仿宋" w:cs="仿宋"/>
          <w:sz w:val="32"/>
          <w:szCs w:val="32"/>
        </w:rPr>
        <w:t>万元,</w:t>
      </w:r>
      <w:r>
        <w:rPr>
          <w:rFonts w:ascii="仿宋" w:hAnsi="仿宋" w:eastAsia="仿宋" w:cs="仿宋"/>
          <w:sz w:val="32"/>
        </w:rPr>
        <w:t>增长0%</w:t>
      </w:r>
      <w:r>
        <w:rPr>
          <w:rFonts w:hint="eastAsia" w:ascii="仿宋" w:hAnsi="仿宋" w:eastAsia="仿宋" w:cs="仿宋"/>
          <w:sz w:val="32"/>
          <w:szCs w:val="32"/>
        </w:rPr>
        <w:t>，主要原因是：本单位2023年度无国有资本经营预算财政拨款收入。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4.上级补助收入</w:t>
      </w:r>
      <w:r>
        <w:rPr>
          <w:rFonts w:ascii="仿宋" w:hAnsi="仿宋" w:eastAsia="仿宋" w:cs="仿宋"/>
          <w:sz w:val="32"/>
        </w:rPr>
        <w:t>0.00</w:t>
      </w:r>
      <w:r>
        <w:rPr>
          <w:rFonts w:hint="eastAsia" w:ascii="仿宋" w:hAnsi="仿宋" w:eastAsia="仿宋" w:cs="仿宋"/>
          <w:sz w:val="32"/>
          <w:szCs w:val="32"/>
        </w:rPr>
        <w:t>万元，为上级部门当年拨付的资金。较2022年度决算数</w:t>
      </w:r>
      <w:r>
        <w:rPr>
          <w:rFonts w:ascii="仿宋" w:hAnsi="仿宋" w:eastAsia="仿宋" w:cs="仿宋"/>
          <w:sz w:val="32"/>
        </w:rPr>
        <w:t>增加0.00</w:t>
      </w:r>
      <w:r>
        <w:rPr>
          <w:rFonts w:hint="eastAsia" w:ascii="仿宋" w:hAnsi="仿宋" w:eastAsia="仿宋" w:cs="仿宋"/>
          <w:sz w:val="32"/>
          <w:szCs w:val="32"/>
        </w:rPr>
        <w:t>万元,</w:t>
      </w:r>
      <w:r>
        <w:rPr>
          <w:rFonts w:ascii="仿宋" w:hAnsi="仿宋" w:eastAsia="仿宋" w:cs="仿宋"/>
          <w:sz w:val="32"/>
        </w:rPr>
        <w:t>增长0%</w:t>
      </w:r>
      <w:r>
        <w:rPr>
          <w:rFonts w:hint="eastAsia" w:ascii="仿宋" w:hAnsi="仿宋" w:eastAsia="仿宋" w:cs="仿宋"/>
          <w:sz w:val="32"/>
          <w:szCs w:val="32"/>
        </w:rPr>
        <w:t>，主要原因是：本单位没有上级补助收入。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5.事业收入</w:t>
      </w:r>
      <w:r>
        <w:rPr>
          <w:rFonts w:ascii="仿宋" w:hAnsi="仿宋" w:eastAsia="仿宋" w:cs="仿宋"/>
          <w:sz w:val="32"/>
        </w:rPr>
        <w:t>0.00</w:t>
      </w:r>
      <w:r>
        <w:rPr>
          <w:rFonts w:hint="eastAsia" w:ascii="仿宋" w:hAnsi="仿宋" w:eastAsia="仿宋" w:cs="仿宋"/>
          <w:sz w:val="32"/>
          <w:szCs w:val="32"/>
        </w:rPr>
        <w:t>万元，为事业单位开展业务活动取得的收入。较2022年度决算数</w:t>
      </w:r>
      <w:r>
        <w:rPr>
          <w:rFonts w:ascii="仿宋" w:hAnsi="仿宋" w:eastAsia="仿宋" w:cs="仿宋"/>
          <w:sz w:val="32"/>
        </w:rPr>
        <w:t>增加0.00</w:t>
      </w:r>
      <w:r>
        <w:rPr>
          <w:rFonts w:hint="eastAsia" w:ascii="仿宋" w:hAnsi="仿宋" w:eastAsia="仿宋" w:cs="仿宋"/>
          <w:sz w:val="32"/>
          <w:szCs w:val="32"/>
        </w:rPr>
        <w:t>万元,</w:t>
      </w:r>
      <w:r>
        <w:rPr>
          <w:rFonts w:ascii="仿宋" w:hAnsi="仿宋" w:eastAsia="仿宋" w:cs="仿宋"/>
          <w:sz w:val="32"/>
        </w:rPr>
        <w:t>增长0%</w:t>
      </w:r>
      <w:r>
        <w:rPr>
          <w:rFonts w:hint="eastAsia" w:ascii="仿宋" w:hAnsi="仿宋" w:eastAsia="仿宋" w:cs="仿宋"/>
          <w:sz w:val="32"/>
          <w:szCs w:val="32"/>
        </w:rPr>
        <w:t>，主要原因是：本单位没有事业收入。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6"/>
          <w:szCs w:val="36"/>
        </w:rPr>
        <w:t>经营收入</w:t>
      </w:r>
      <w:r>
        <w:rPr>
          <w:rFonts w:hint="eastAsia" w:ascii="仿宋" w:hAnsi="仿宋" w:eastAsia="仿宋" w:cs="仿宋"/>
          <w:sz w:val="32"/>
          <w:szCs w:val="32"/>
        </w:rPr>
        <w:t>0.00万,为事业单位在业务活动之外开展非独立核算经营活动取得的收入。较2022年度决算数</w:t>
      </w:r>
      <w:r>
        <w:rPr>
          <w:rFonts w:ascii="仿宋" w:hAnsi="仿宋" w:eastAsia="仿宋" w:cs="仿宋"/>
          <w:sz w:val="32"/>
        </w:rPr>
        <w:t>增加0.00</w:t>
      </w:r>
      <w:r>
        <w:rPr>
          <w:rFonts w:hint="eastAsia" w:ascii="仿宋" w:hAnsi="仿宋" w:eastAsia="仿宋" w:cs="仿宋"/>
          <w:sz w:val="32"/>
          <w:szCs w:val="32"/>
        </w:rPr>
        <w:t>万元，</w:t>
      </w:r>
      <w:r>
        <w:rPr>
          <w:rFonts w:ascii="仿宋" w:hAnsi="仿宋" w:eastAsia="仿宋" w:cs="仿宋"/>
          <w:sz w:val="32"/>
        </w:rPr>
        <w:t>增长0%</w:t>
      </w:r>
      <w:r>
        <w:rPr>
          <w:rFonts w:hint="eastAsia" w:ascii="仿宋" w:hAnsi="仿宋" w:eastAsia="仿宋" w:cs="仿宋"/>
          <w:sz w:val="32"/>
          <w:szCs w:val="32"/>
        </w:rPr>
        <w:t>，主要原因是：本单位没有经营性收入。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7.附属单位上缴收入</w:t>
      </w:r>
      <w:r>
        <w:rPr>
          <w:rFonts w:ascii="仿宋" w:hAnsi="仿宋" w:eastAsia="仿宋" w:cs="仿宋"/>
          <w:sz w:val="32"/>
        </w:rPr>
        <w:t>0.00</w:t>
      </w:r>
      <w:r>
        <w:rPr>
          <w:rFonts w:hint="eastAsia" w:ascii="仿宋" w:hAnsi="仿宋" w:eastAsia="仿宋" w:cs="仿宋"/>
          <w:sz w:val="32"/>
          <w:szCs w:val="32"/>
        </w:rPr>
        <w:t>万元。较2022年度决算数</w:t>
      </w:r>
      <w:r>
        <w:rPr>
          <w:rFonts w:ascii="仿宋" w:hAnsi="仿宋" w:eastAsia="仿宋" w:cs="仿宋"/>
          <w:sz w:val="32"/>
        </w:rPr>
        <w:t>增加0.00</w:t>
      </w:r>
      <w:r>
        <w:rPr>
          <w:rFonts w:hint="eastAsia" w:ascii="仿宋" w:hAnsi="仿宋" w:eastAsia="仿宋" w:cs="仿宋"/>
          <w:sz w:val="32"/>
          <w:szCs w:val="32"/>
        </w:rPr>
        <w:t>万元，</w:t>
      </w:r>
      <w:r>
        <w:rPr>
          <w:rFonts w:ascii="仿宋" w:hAnsi="仿宋" w:eastAsia="仿宋" w:cs="仿宋"/>
          <w:sz w:val="32"/>
        </w:rPr>
        <w:t>增长0%</w:t>
      </w:r>
      <w:r>
        <w:rPr>
          <w:rFonts w:hint="eastAsia" w:ascii="仿宋" w:hAnsi="仿宋" w:eastAsia="仿宋" w:cs="仿宋"/>
          <w:sz w:val="32"/>
          <w:szCs w:val="32"/>
        </w:rPr>
        <w:t>，主要原因是：本单位无附属单位上缴收入。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8.其他收入</w:t>
      </w:r>
      <w:r>
        <w:rPr>
          <w:rFonts w:ascii="仿宋" w:hAnsi="仿宋" w:eastAsia="仿宋" w:cs="仿宋"/>
          <w:sz w:val="32"/>
        </w:rPr>
        <w:t>0.00</w:t>
      </w:r>
      <w:r>
        <w:rPr>
          <w:rFonts w:hint="eastAsia" w:ascii="仿宋" w:hAnsi="仿宋" w:eastAsia="仿宋" w:cs="仿宋"/>
          <w:sz w:val="32"/>
          <w:szCs w:val="32"/>
        </w:rPr>
        <w:t>万元,为预算单位在“财政拨款收入”“事业收入”“经营收入”之外取得的收入。较2022年度决算数</w:t>
      </w:r>
      <w:r>
        <w:rPr>
          <w:rFonts w:ascii="仿宋" w:hAnsi="仿宋" w:eastAsia="仿宋" w:cs="仿宋"/>
          <w:sz w:val="32"/>
        </w:rPr>
        <w:t>增加0.00</w:t>
      </w:r>
      <w:r>
        <w:rPr>
          <w:rFonts w:hint="eastAsia" w:ascii="仿宋" w:hAnsi="仿宋" w:eastAsia="仿宋" w:cs="仿宋"/>
          <w:sz w:val="32"/>
          <w:szCs w:val="32"/>
        </w:rPr>
        <w:t>万元，</w:t>
      </w:r>
      <w:r>
        <w:rPr>
          <w:rFonts w:ascii="仿宋" w:hAnsi="仿宋" w:eastAsia="仿宋" w:cs="仿宋"/>
          <w:sz w:val="32"/>
        </w:rPr>
        <w:t>增长0%</w:t>
      </w:r>
      <w:r>
        <w:rPr>
          <w:rFonts w:hint="eastAsia" w:ascii="仿宋" w:hAnsi="仿宋" w:eastAsia="仿宋" w:cs="仿宋"/>
          <w:sz w:val="32"/>
          <w:szCs w:val="32"/>
        </w:rPr>
        <w:t>，主要原因是：本单位没有其他收入。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9.使用非财政拨款结余</w:t>
      </w:r>
      <w:r>
        <w:rPr>
          <w:rFonts w:ascii="仿宋" w:hAnsi="仿宋" w:eastAsia="仿宋" w:cs="仿宋"/>
          <w:sz w:val="32"/>
        </w:rPr>
        <w:t>0.00</w:t>
      </w:r>
      <w:r>
        <w:rPr>
          <w:rFonts w:hint="eastAsia" w:ascii="仿宋" w:hAnsi="仿宋" w:eastAsia="仿宋" w:cs="仿宋"/>
          <w:sz w:val="32"/>
          <w:szCs w:val="32"/>
        </w:rPr>
        <w:t>万元,主要是所属事业单位在当年的“财政拨款收入”“事业收入”“经营收入”及“其他收入”不能保证其支出的情况下，使用以前年度积累的非财政拨款结余弥补本年度收支缺口的资金。较2022年度决算数</w:t>
      </w:r>
      <w:r>
        <w:rPr>
          <w:rFonts w:ascii="仿宋" w:hAnsi="仿宋" w:eastAsia="仿宋" w:cs="仿宋"/>
          <w:sz w:val="32"/>
        </w:rPr>
        <w:t>增加0.00</w:t>
      </w:r>
      <w:r>
        <w:rPr>
          <w:rFonts w:hint="eastAsia" w:ascii="仿宋" w:hAnsi="仿宋" w:eastAsia="仿宋" w:cs="仿宋"/>
          <w:sz w:val="32"/>
          <w:szCs w:val="32"/>
        </w:rPr>
        <w:t>万元，</w:t>
      </w:r>
      <w:r>
        <w:rPr>
          <w:rFonts w:ascii="仿宋" w:hAnsi="仿宋" w:eastAsia="仿宋" w:cs="仿宋"/>
          <w:sz w:val="32"/>
        </w:rPr>
        <w:t>增长0%</w:t>
      </w:r>
      <w:r>
        <w:rPr>
          <w:rFonts w:hint="eastAsia" w:ascii="仿宋" w:hAnsi="仿宋" w:eastAsia="仿宋" w:cs="仿宋"/>
          <w:sz w:val="32"/>
          <w:szCs w:val="32"/>
        </w:rPr>
        <w:t>，主要原因是：本单位没有非财政拨款结余。</w:t>
      </w:r>
    </w:p>
    <w:p>
      <w:pPr>
        <w:ind w:firstLine="640" w:firstLineChars="200"/>
        <w:jc w:val="center"/>
        <w:rPr>
          <w:rFonts w:hint="eastAsia" w:ascii="仿宋" w:hAnsi="仿宋" w:eastAsia="仿宋" w:cs="仿宋"/>
          <w:sz w:val="32"/>
          <w:szCs w:val="32"/>
        </w:rPr>
      </w:pPr>
      <w:r>
        <w:rPr>
          <w:rFonts w:hint="eastAsia" w:ascii="仿宋" w:hAnsi="仿宋" w:eastAsia="仿宋" w:cs="仿宋"/>
          <w:sz w:val="32"/>
          <w:szCs w:val="32"/>
        </w:rPr>
        <w:t>10.上年结转和结余</w:t>
      </w:r>
      <w:r>
        <w:rPr>
          <w:rFonts w:ascii="仿宋" w:hAnsi="仿宋" w:eastAsia="仿宋" w:cs="仿宋"/>
          <w:sz w:val="32"/>
        </w:rPr>
        <w:t>0.00</w:t>
      </w:r>
      <w:r>
        <w:rPr>
          <w:rFonts w:hint="eastAsia" w:ascii="仿宋" w:hAnsi="仿宋" w:eastAsia="仿宋" w:cs="仿宋"/>
          <w:sz w:val="32"/>
          <w:szCs w:val="32"/>
        </w:rPr>
        <w:t>万元，为以前年度支出预算因客观条件变化未执行完毕、结转到本年度按有关规定继续使用的资金。较2022年度决算数</w:t>
      </w:r>
      <w:r>
        <w:rPr>
          <w:rFonts w:ascii="仿宋" w:hAnsi="仿宋" w:eastAsia="仿宋" w:cs="仿宋"/>
          <w:sz w:val="32"/>
        </w:rPr>
        <w:t>减少</w:t>
      </w:r>
      <w:r>
        <w:rPr>
          <w:rFonts w:hint="eastAsia" w:ascii="仿宋" w:hAnsi="仿宋" w:eastAsia="仿宋" w:cs="仿宋"/>
          <w:sz w:val="32"/>
        </w:rPr>
        <w:t>0.00</w:t>
      </w:r>
      <w:r>
        <w:rPr>
          <w:rFonts w:hint="eastAsia" w:ascii="仿宋" w:hAnsi="仿宋" w:eastAsia="仿宋" w:cs="仿宋"/>
          <w:sz w:val="32"/>
          <w:szCs w:val="32"/>
        </w:rPr>
        <w:t>万元，</w:t>
      </w:r>
      <w:r>
        <w:rPr>
          <w:rFonts w:ascii="仿宋" w:hAnsi="仿宋" w:eastAsia="仿宋" w:cs="仿宋"/>
          <w:sz w:val="32"/>
        </w:rPr>
        <w:t>下降</w:t>
      </w:r>
      <w:r>
        <w:rPr>
          <w:rFonts w:hint="eastAsia" w:ascii="仿宋" w:hAnsi="仿宋" w:eastAsia="仿宋" w:cs="仿宋"/>
          <w:sz w:val="32"/>
        </w:rPr>
        <w:t>0</w:t>
      </w:r>
      <w:r>
        <w:rPr>
          <w:rFonts w:ascii="仿宋" w:hAnsi="仿宋" w:eastAsia="仿宋" w:cs="仿宋"/>
          <w:sz w:val="32"/>
        </w:rPr>
        <w:t>%</w:t>
      </w:r>
      <w:r>
        <w:rPr>
          <w:rFonts w:hint="eastAsia" w:ascii="仿宋" w:hAnsi="仿宋" w:eastAsia="仿宋" w:cs="仿宋"/>
          <w:sz w:val="32"/>
          <w:szCs w:val="32"/>
        </w:rPr>
        <w:t>，主要原因：部分项目已在本年执行完毕，不需要结转至下年继续执行。</w:t>
      </w:r>
    </w:p>
    <w:p>
      <w:pPr>
        <w:jc w:val="center"/>
        <w:rPr>
          <w:rFonts w:ascii="仿宋" w:hAnsi="仿宋" w:eastAsia="仿宋" w:cs="仿宋"/>
          <w:sz w:val="32"/>
          <w:szCs w:val="32"/>
        </w:rPr>
      </w:pPr>
      <w:r>
        <w:rPr>
          <w:rFonts w:ascii="仿宋" w:hAnsi="仿宋" w:eastAsia="仿宋" w:cs="仿宋"/>
          <w:sz w:val="32"/>
          <w:szCs w:val="32"/>
        </w:rPr>
        <w:drawing>
          <wp:inline distT="0" distB="0" distL="0" distR="0">
            <wp:extent cx="5486400" cy="3200400"/>
            <wp:effectExtent l="19050" t="0" r="1905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sz w:val="32"/>
          <w:szCs w:val="32"/>
        </w:rPr>
      </w:pPr>
      <w:r>
        <w:rPr>
          <w:rFonts w:hint="eastAsia" w:ascii="仿宋" w:hAnsi="仿宋" w:eastAsia="仿宋" w:cs="仿宋"/>
          <w:sz w:val="32"/>
          <w:szCs w:val="32"/>
        </w:rPr>
        <w:t>（二）本部门2023年度总支出</w:t>
      </w:r>
      <w:r>
        <w:rPr>
          <w:rFonts w:hint="eastAsia" w:ascii="仿宋" w:hAnsi="仿宋" w:eastAsia="仿宋" w:cs="仿宋"/>
          <w:sz w:val="32"/>
        </w:rPr>
        <w:t>523.24</w:t>
      </w:r>
      <w:r>
        <w:rPr>
          <w:rFonts w:hint="eastAsia" w:ascii="仿宋" w:hAnsi="仿宋" w:eastAsia="仿宋" w:cs="仿宋"/>
          <w:sz w:val="32"/>
          <w:szCs w:val="32"/>
        </w:rPr>
        <w:t>万元，其中本年支出</w:t>
      </w:r>
      <w:r>
        <w:rPr>
          <w:rFonts w:hint="eastAsia" w:ascii="仿宋" w:hAnsi="仿宋" w:eastAsia="仿宋" w:cs="仿宋"/>
          <w:sz w:val="32"/>
        </w:rPr>
        <w:t>523.24</w:t>
      </w:r>
      <w:r>
        <w:rPr>
          <w:rFonts w:hint="eastAsia" w:ascii="仿宋" w:hAnsi="仿宋" w:eastAsia="仿宋" w:cs="仿宋"/>
          <w:sz w:val="32"/>
          <w:szCs w:val="32"/>
        </w:rPr>
        <w:t>万元，较2022年度决算数</w:t>
      </w:r>
      <w:r>
        <w:rPr>
          <w:rFonts w:ascii="仿宋" w:hAnsi="仿宋" w:eastAsia="仿宋" w:cs="仿宋"/>
          <w:sz w:val="32"/>
        </w:rPr>
        <w:t>增加</w:t>
      </w:r>
      <w:r>
        <w:rPr>
          <w:rFonts w:hint="eastAsia" w:ascii="仿宋" w:hAnsi="仿宋" w:eastAsia="仿宋" w:cs="仿宋"/>
          <w:sz w:val="32"/>
        </w:rPr>
        <w:t>77.91</w:t>
      </w:r>
      <w:r>
        <w:rPr>
          <w:rFonts w:hint="eastAsia" w:ascii="仿宋" w:hAnsi="仿宋" w:eastAsia="仿宋" w:cs="仿宋"/>
          <w:sz w:val="32"/>
          <w:szCs w:val="32"/>
        </w:rPr>
        <w:t>万元，</w:t>
      </w:r>
      <w:r>
        <w:rPr>
          <w:rFonts w:ascii="仿宋" w:hAnsi="仿宋" w:eastAsia="仿宋" w:cs="仿宋"/>
          <w:sz w:val="32"/>
        </w:rPr>
        <w:t>增长</w:t>
      </w:r>
      <w:r>
        <w:rPr>
          <w:rFonts w:hint="eastAsia" w:ascii="仿宋" w:hAnsi="仿宋" w:eastAsia="仿宋" w:cs="仿宋"/>
          <w:sz w:val="32"/>
        </w:rPr>
        <w:t>17.49</w:t>
      </w:r>
      <w:r>
        <w:rPr>
          <w:rFonts w:ascii="仿宋" w:hAnsi="仿宋" w:eastAsia="仿宋" w:cs="仿宋"/>
          <w:sz w:val="32"/>
        </w:rPr>
        <w:t>%</w:t>
      </w:r>
      <w:r>
        <w:rPr>
          <w:rFonts w:hint="eastAsia" w:ascii="仿宋" w:hAnsi="仿宋" w:eastAsia="仿宋" w:cs="仿宋"/>
          <w:sz w:val="32"/>
          <w:szCs w:val="32"/>
        </w:rPr>
        <w:t>。支出具体情况如下：</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1</w:t>
      </w:r>
      <w:r>
        <w:rPr>
          <w:rFonts w:ascii="仿宋" w:hAnsi="仿宋" w:eastAsia="仿宋" w:cs="仿宋"/>
          <w:sz w:val="32"/>
        </w:rPr>
        <w:t>.</w:t>
      </w:r>
      <w:r>
        <w:rPr>
          <w:rFonts w:hint="eastAsia" w:ascii="仿宋" w:hAnsi="仿宋" w:eastAsia="仿宋" w:cs="仿宋"/>
          <w:sz w:val="32"/>
          <w:szCs w:val="32"/>
        </w:rPr>
        <w:t>一般公共服务支出（201</w:t>
      </w:r>
      <w:r>
        <w:rPr>
          <w:rFonts w:ascii="Calibri" w:hAnsi="Calibri" w:eastAsia="宋体" w:cs="Times New Roman"/>
        </w:rPr>
        <w:t xml:space="preserve"> </w:t>
      </w:r>
      <w:r>
        <w:rPr>
          <w:rFonts w:hint="eastAsia" w:ascii="仿宋" w:hAnsi="仿宋" w:eastAsia="仿宋" w:cs="仿宋"/>
          <w:sz w:val="32"/>
          <w:szCs w:val="32"/>
        </w:rPr>
        <w:t>类）4.45万元：主要用于：教职工工会活动费。较2022年度决算数增加2.01万元，增长82.38%，主要原因是：本部门2023年度新公招8名教师控制数。</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rPr>
        <w:t>.</w:t>
      </w:r>
      <w:r>
        <w:rPr>
          <w:rFonts w:hint="eastAsia" w:ascii="仿宋" w:hAnsi="仿宋" w:eastAsia="仿宋" w:cs="仿宋"/>
          <w:sz w:val="32"/>
          <w:szCs w:val="32"/>
        </w:rPr>
        <w:t>教育支出（205</w:t>
      </w:r>
      <w:r>
        <w:rPr>
          <w:rFonts w:ascii="Calibri" w:hAnsi="Calibri" w:eastAsia="宋体" w:cs="Times New Roman"/>
        </w:rPr>
        <w:t xml:space="preserve"> </w:t>
      </w:r>
      <w:r>
        <w:rPr>
          <w:rFonts w:hint="eastAsia" w:ascii="仿宋" w:hAnsi="仿宋" w:eastAsia="仿宋" w:cs="仿宋"/>
          <w:sz w:val="32"/>
          <w:szCs w:val="32"/>
        </w:rPr>
        <w:t>类）431.69万元：主要用于：人员基本工资，商品服务支出。。较2022年度决算数增加50.58万元，增长13.27%，主要原因是：本部门2023年度新公招8名教师控制数；2023年度调整工资标准。</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3</w:t>
      </w:r>
      <w:r>
        <w:rPr>
          <w:rFonts w:ascii="仿宋" w:hAnsi="仿宋" w:eastAsia="仿宋" w:cs="仿宋"/>
          <w:sz w:val="32"/>
        </w:rPr>
        <w:t>.</w:t>
      </w:r>
      <w:r>
        <w:rPr>
          <w:rFonts w:hint="eastAsia" w:ascii="仿宋" w:hAnsi="仿宋" w:eastAsia="仿宋" w:cs="仿宋"/>
          <w:sz w:val="32"/>
          <w:szCs w:val="32"/>
        </w:rPr>
        <w:t>社会保障和就业支出（208</w:t>
      </w:r>
      <w:r>
        <w:rPr>
          <w:rFonts w:ascii="Calibri" w:hAnsi="Calibri" w:eastAsia="宋体" w:cs="Times New Roman"/>
        </w:rPr>
        <w:t xml:space="preserve"> </w:t>
      </w:r>
      <w:r>
        <w:rPr>
          <w:rFonts w:hint="eastAsia" w:ascii="仿宋" w:hAnsi="仿宋" w:eastAsia="仿宋" w:cs="仿宋"/>
          <w:sz w:val="32"/>
          <w:szCs w:val="32"/>
        </w:rPr>
        <w:t>类）31.80万元：主要用于：本单位2023年度教职工基本养老保险缴费支出。较2022年度决算数增加12.99万元，增长69.06%，主要原因是：本部门2023年度新增8名公招教师控制数；2023年度调整缴费基数。</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4</w:t>
      </w:r>
      <w:r>
        <w:rPr>
          <w:rFonts w:ascii="仿宋" w:hAnsi="仿宋" w:eastAsia="仿宋" w:cs="仿宋"/>
          <w:sz w:val="32"/>
        </w:rPr>
        <w:t>.</w:t>
      </w:r>
      <w:r>
        <w:rPr>
          <w:rFonts w:hint="eastAsia" w:ascii="仿宋" w:hAnsi="仿宋" w:eastAsia="仿宋" w:cs="仿宋"/>
          <w:sz w:val="32"/>
          <w:szCs w:val="32"/>
        </w:rPr>
        <w:t>住房保障支出（221</w:t>
      </w:r>
      <w:r>
        <w:rPr>
          <w:rFonts w:ascii="Calibri" w:hAnsi="Calibri" w:eastAsia="宋体" w:cs="Times New Roman"/>
        </w:rPr>
        <w:t xml:space="preserve"> </w:t>
      </w:r>
      <w:r>
        <w:rPr>
          <w:rFonts w:hint="eastAsia" w:ascii="仿宋" w:hAnsi="仿宋" w:eastAsia="仿宋" w:cs="仿宋"/>
          <w:sz w:val="32"/>
          <w:szCs w:val="32"/>
        </w:rPr>
        <w:t>类）23.12万元：主要用于：本部门2023年度教职工住房公积金支出。较2022年度决算数增加9.33万元，增长67.66%，主要原因是：本部门2023年度新增8名公招教师控制数；2023年度调整缴费基数。</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5</w:t>
      </w:r>
      <w:r>
        <w:rPr>
          <w:rFonts w:ascii="仿宋" w:hAnsi="仿宋" w:eastAsia="仿宋" w:cs="仿宋"/>
          <w:sz w:val="32"/>
        </w:rPr>
        <w:t>.</w:t>
      </w:r>
      <w:r>
        <w:rPr>
          <w:rFonts w:hint="eastAsia" w:ascii="仿宋" w:hAnsi="仿宋" w:eastAsia="仿宋" w:cs="仿宋"/>
          <w:sz w:val="32"/>
          <w:szCs w:val="32"/>
        </w:rPr>
        <w:t>其他支出（229</w:t>
      </w:r>
      <w:r>
        <w:rPr>
          <w:rFonts w:ascii="Calibri" w:hAnsi="Calibri" w:eastAsia="宋体" w:cs="Times New Roman"/>
        </w:rPr>
        <w:t xml:space="preserve"> </w:t>
      </w:r>
      <w:r>
        <w:rPr>
          <w:rFonts w:hint="eastAsia" w:ascii="仿宋" w:hAnsi="仿宋" w:eastAsia="仿宋" w:cs="仿宋"/>
          <w:sz w:val="32"/>
          <w:szCs w:val="32"/>
        </w:rPr>
        <w:t>类）32.18万元：主要用于：其他工资福利支出。较2022年度决算数增加3.02万元，增长10.36%，主要原因是：本部门2023年度新增8名公招教师控制数。</w:t>
      </w:r>
    </w:p>
    <w:p>
      <w:pPr>
        <w:ind w:firstLine="620" w:firstLineChars="200"/>
        <w:jc w:val="left"/>
        <w:rPr>
          <w:rFonts w:ascii="仿宋" w:hAnsi="仿宋" w:eastAsia="仿宋_GB2312" w:cs="仿宋"/>
          <w:sz w:val="32"/>
          <w:szCs w:val="32"/>
        </w:rPr>
      </w:pPr>
      <w:r>
        <w:rPr>
          <w:rFonts w:ascii="仿宋_GB2312" w:hAnsi="微软雅黑" w:eastAsia="仿宋_GB2312" w:cs="仿宋_GB2312"/>
          <w:sz w:val="31"/>
          <w:szCs w:val="31"/>
          <w:shd w:val="clear" w:color="auto" w:fill="FFFFFF"/>
        </w:rPr>
        <w:t>结余分配</w:t>
      </w:r>
      <w:r>
        <w:rPr>
          <w:rFonts w:hint="eastAsia" w:ascii="仿宋_GB2312" w:hAnsi="微软雅黑" w:eastAsia="仿宋_GB2312" w:cs="仿宋_GB2312"/>
          <w:sz w:val="31"/>
          <w:szCs w:val="31"/>
          <w:shd w:val="clear" w:color="auto" w:fill="FFFFFF"/>
        </w:rPr>
        <w:t>0.00</w:t>
      </w:r>
      <w:r>
        <w:rPr>
          <w:rFonts w:ascii="仿宋_GB2312" w:hAnsi="微软雅黑" w:eastAsia="仿宋_GB2312" w:cs="仿宋_GB2312"/>
          <w:sz w:val="31"/>
          <w:szCs w:val="31"/>
          <w:shd w:val="clear" w:color="auto" w:fill="FFFFFF"/>
        </w:rPr>
        <w:t>万元，为事业单位按规定提取的专用结余、缴纳所得税和转入非财政拨款结余等。较2022年决算</w:t>
      </w:r>
      <w:r>
        <w:rPr>
          <w:rFonts w:hint="eastAsia" w:ascii="仿宋_GB2312" w:hAnsi="微软雅黑" w:eastAsia="仿宋_GB2312" w:cs="仿宋_GB2312"/>
          <w:sz w:val="31"/>
          <w:szCs w:val="31"/>
          <w:shd w:val="clear" w:color="auto" w:fill="FFFFFF"/>
        </w:rPr>
        <w:t>0.00</w:t>
      </w:r>
      <w:r>
        <w:rPr>
          <w:rFonts w:ascii="仿宋_GB2312" w:hAnsi="微软雅黑" w:eastAsia="仿宋_GB2312" w:cs="仿宋_GB2312"/>
          <w:sz w:val="31"/>
          <w:szCs w:val="31"/>
          <w:shd w:val="clear" w:color="auto" w:fill="FFFFFF"/>
        </w:rPr>
        <w:t>万元</w:t>
      </w:r>
      <w:r>
        <w:rPr>
          <w:rFonts w:hint="eastAsia" w:ascii="仿宋_GB2312" w:hAnsi="微软雅黑" w:eastAsia="仿宋_GB2312" w:cs="仿宋_GB2312"/>
          <w:sz w:val="31"/>
          <w:szCs w:val="31"/>
          <w:shd w:val="clear" w:color="auto" w:fill="FFFFFF"/>
        </w:rPr>
        <w:t>,增加0.00</w:t>
      </w:r>
      <w:r>
        <w:rPr>
          <w:rFonts w:ascii="仿宋_GB2312" w:hAnsi="微软雅黑" w:eastAsia="仿宋_GB2312" w:cs="仿宋_GB2312"/>
          <w:sz w:val="31"/>
          <w:szCs w:val="31"/>
          <w:shd w:val="clear" w:color="auto" w:fill="FFFFFF"/>
        </w:rPr>
        <w:t>万元，</w:t>
      </w:r>
      <w:r>
        <w:rPr>
          <w:rFonts w:hint="eastAsia" w:ascii="仿宋_GB2312" w:hAnsi="微软雅黑" w:eastAsia="仿宋_GB2312" w:cs="仿宋_GB2312"/>
          <w:sz w:val="31"/>
          <w:szCs w:val="31"/>
          <w:shd w:val="clear" w:color="auto" w:fill="FFFFFF"/>
        </w:rPr>
        <w:t>增长0%</w:t>
      </w:r>
      <w:r>
        <w:rPr>
          <w:rFonts w:ascii="仿宋_GB2312" w:hAnsi="微软雅黑" w:eastAsia="仿宋_GB2312" w:cs="仿宋_GB2312"/>
          <w:sz w:val="31"/>
          <w:szCs w:val="31"/>
          <w:shd w:val="clear" w:color="auto" w:fill="FFFFFF"/>
        </w:rPr>
        <w:t>，主要原因是</w:t>
      </w:r>
      <w:r>
        <w:rPr>
          <w:rFonts w:hint="eastAsia" w:ascii="仿宋" w:hAnsi="仿宋" w:eastAsia="仿宋" w:cs="仿宋"/>
          <w:sz w:val="32"/>
          <w:szCs w:val="32"/>
        </w:rPr>
        <w:t>：本部门2023年度无结余分配资金。</w:t>
      </w:r>
    </w:p>
    <w:p>
      <w:pPr>
        <w:ind w:firstLine="640" w:firstLineChars="200"/>
        <w:jc w:val="center"/>
        <w:rPr>
          <w:rFonts w:hint="eastAsia" w:ascii="仿宋" w:hAnsi="仿宋" w:eastAsia="仿宋" w:cs="仿宋"/>
          <w:sz w:val="32"/>
          <w:szCs w:val="32"/>
        </w:rPr>
      </w:pPr>
      <w:r>
        <w:rPr>
          <w:rFonts w:hint="eastAsia" w:ascii="仿宋" w:hAnsi="仿宋" w:eastAsia="仿宋" w:cs="仿宋"/>
          <w:sz w:val="32"/>
          <w:szCs w:val="32"/>
        </w:rPr>
        <w:t>年末结转和结余</w:t>
      </w:r>
      <w:r>
        <w:rPr>
          <w:rFonts w:ascii="仿宋" w:hAnsi="仿宋" w:eastAsia="仿宋" w:cs="仿宋"/>
          <w:sz w:val="32"/>
        </w:rPr>
        <w:t>0.00</w:t>
      </w:r>
      <w:r>
        <w:rPr>
          <w:rFonts w:hint="eastAsia" w:ascii="仿宋" w:hAnsi="仿宋" w:eastAsia="仿宋" w:cs="仿宋"/>
          <w:sz w:val="32"/>
          <w:szCs w:val="32"/>
        </w:rPr>
        <w:t>万元，为本年度或以前年度预算安排、因客观条件发生变化无法按原计划实施，需要延迟到以后年度按有关规定继续使用的资金。较2022年度决算数</w:t>
      </w:r>
      <w:r>
        <w:rPr>
          <w:rFonts w:ascii="仿宋" w:hAnsi="仿宋" w:eastAsia="仿宋" w:cs="仿宋"/>
          <w:sz w:val="32"/>
        </w:rPr>
        <w:t>增加0.00</w:t>
      </w:r>
      <w:r>
        <w:rPr>
          <w:rFonts w:hint="eastAsia" w:ascii="仿宋" w:hAnsi="仿宋" w:eastAsia="仿宋" w:cs="仿宋"/>
          <w:sz w:val="32"/>
          <w:szCs w:val="32"/>
        </w:rPr>
        <w:t>万元，</w:t>
      </w:r>
      <w:r>
        <w:rPr>
          <w:rFonts w:ascii="仿宋" w:hAnsi="仿宋" w:eastAsia="仿宋" w:cs="仿宋"/>
          <w:sz w:val="32"/>
        </w:rPr>
        <w:t>增长0%</w:t>
      </w:r>
      <w:r>
        <w:rPr>
          <w:rFonts w:hint="eastAsia" w:ascii="仿宋" w:hAnsi="仿宋" w:eastAsia="仿宋" w:cs="仿宋"/>
          <w:sz w:val="32"/>
          <w:szCs w:val="32"/>
        </w:rPr>
        <w:t>，主要原因是：本部门2023年度无结余分配资金。</w:t>
      </w:r>
    </w:p>
    <w:p>
      <w:pPr>
        <w:jc w:val="center"/>
        <w:rPr>
          <w:rFonts w:ascii="仿宋" w:hAnsi="仿宋" w:eastAsia="仿宋" w:cs="仿宋"/>
          <w:sz w:val="32"/>
          <w:szCs w:val="32"/>
        </w:rPr>
      </w:pPr>
      <w:r>
        <w:rPr>
          <w:rFonts w:ascii="仿宋" w:hAnsi="仿宋" w:eastAsia="仿宋" w:cs="仿宋"/>
          <w:sz w:val="32"/>
          <w:szCs w:val="32"/>
        </w:rPr>
        <w:drawing>
          <wp:inline distT="0" distB="0" distL="0" distR="0">
            <wp:extent cx="5486400" cy="4133215"/>
            <wp:effectExtent l="4445" t="4445" r="14605" b="1524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rPr>
      </w:pPr>
      <w:r>
        <w:rPr>
          <w:rFonts w:hint="eastAsia" w:ascii="黑体" w:hAnsi="黑体" w:eastAsia="黑体" w:cs="黑体"/>
          <w:sz w:val="32"/>
          <w:szCs w:val="32"/>
        </w:rPr>
        <w:t>二、2023 年度</w:t>
      </w:r>
      <w:bookmarkStart w:id="0" w:name="OLE_LINK1"/>
      <w:r>
        <w:rPr>
          <w:rFonts w:hint="eastAsia" w:ascii="黑体" w:hAnsi="黑体" w:eastAsia="黑体" w:cs="黑体"/>
          <w:sz w:val="32"/>
          <w:szCs w:val="32"/>
        </w:rPr>
        <w:t>一般公共预算财政拨款支出决算情况</w:t>
      </w:r>
      <w:bookmarkEnd w:id="0"/>
    </w:p>
    <w:p>
      <w:pPr>
        <w:ind w:firstLine="640" w:firstLineChars="200"/>
        <w:jc w:val="left"/>
        <w:rPr>
          <w:rFonts w:ascii="仿宋" w:hAnsi="仿宋" w:eastAsia="仿宋" w:cs="仿宋"/>
          <w:sz w:val="32"/>
          <w:szCs w:val="32"/>
        </w:rPr>
      </w:pPr>
      <w:r>
        <w:rPr>
          <w:rFonts w:hint="eastAsia" w:ascii="仿宋" w:hAnsi="仿宋" w:eastAsia="仿宋" w:cs="仿宋"/>
          <w:sz w:val="32"/>
          <w:szCs w:val="32"/>
        </w:rPr>
        <w:t>环江毛南族自治县第二幼儿园2023年度一般公共预算财政拨款支出</w:t>
      </w:r>
      <w:r>
        <w:rPr>
          <w:rFonts w:hint="eastAsia" w:ascii="仿宋" w:hAnsi="仿宋" w:eastAsia="仿宋" w:cs="仿宋"/>
          <w:sz w:val="32"/>
        </w:rPr>
        <w:t>523.24</w:t>
      </w:r>
      <w:r>
        <w:rPr>
          <w:rFonts w:hint="eastAsia" w:ascii="仿宋" w:hAnsi="仿宋" w:eastAsia="仿宋" w:cs="仿宋"/>
          <w:sz w:val="32"/>
          <w:szCs w:val="32"/>
        </w:rPr>
        <w:t>万元，较2022年度决算数</w:t>
      </w:r>
      <w:r>
        <w:rPr>
          <w:rFonts w:ascii="仿宋" w:hAnsi="仿宋" w:eastAsia="仿宋" w:cs="仿宋"/>
          <w:sz w:val="32"/>
        </w:rPr>
        <w:t>增加</w:t>
      </w:r>
      <w:r>
        <w:rPr>
          <w:rFonts w:hint="eastAsia" w:ascii="仿宋" w:hAnsi="仿宋" w:eastAsia="仿宋" w:cs="仿宋"/>
          <w:sz w:val="32"/>
        </w:rPr>
        <w:t>77.91</w:t>
      </w:r>
      <w:r>
        <w:rPr>
          <w:rFonts w:hint="eastAsia" w:ascii="仿宋" w:hAnsi="仿宋" w:eastAsia="仿宋" w:cs="仿宋"/>
          <w:sz w:val="32"/>
          <w:szCs w:val="32"/>
        </w:rPr>
        <w:t>万元，</w:t>
      </w:r>
      <w:r>
        <w:rPr>
          <w:rFonts w:ascii="仿宋" w:hAnsi="仿宋" w:eastAsia="仿宋" w:cs="仿宋"/>
          <w:sz w:val="32"/>
        </w:rPr>
        <w:t>增长</w:t>
      </w:r>
      <w:r>
        <w:rPr>
          <w:rFonts w:hint="eastAsia" w:ascii="仿宋" w:hAnsi="仿宋" w:eastAsia="仿宋" w:cs="仿宋"/>
          <w:sz w:val="32"/>
        </w:rPr>
        <w:t>17.49</w:t>
      </w:r>
      <w:r>
        <w:rPr>
          <w:rFonts w:ascii="仿宋" w:hAnsi="仿宋" w:eastAsia="仿宋" w:cs="仿宋"/>
          <w:sz w:val="32"/>
        </w:rPr>
        <w:t>%</w:t>
      </w:r>
      <w:r>
        <w:rPr>
          <w:rFonts w:hint="eastAsia" w:ascii="仿宋" w:hAnsi="仿宋" w:eastAsia="仿宋" w:cs="仿宋"/>
          <w:sz w:val="32"/>
          <w:szCs w:val="32"/>
        </w:rPr>
        <w:t>。其中：基本支出</w:t>
      </w:r>
      <w:r>
        <w:rPr>
          <w:rFonts w:hint="eastAsia" w:ascii="仿宋" w:hAnsi="仿宋" w:eastAsia="仿宋" w:cs="仿宋"/>
          <w:sz w:val="32"/>
        </w:rPr>
        <w:t>319.16</w:t>
      </w:r>
      <w:r>
        <w:rPr>
          <w:rFonts w:hint="eastAsia" w:ascii="仿宋" w:hAnsi="仿宋" w:eastAsia="仿宋" w:cs="仿宋"/>
          <w:sz w:val="32"/>
          <w:szCs w:val="32"/>
        </w:rPr>
        <w:t>万元，项目支出</w:t>
      </w:r>
      <w:r>
        <w:rPr>
          <w:rFonts w:hint="eastAsia" w:ascii="仿宋" w:hAnsi="仿宋" w:eastAsia="仿宋" w:cs="仿宋"/>
          <w:sz w:val="32"/>
        </w:rPr>
        <w:t>204.08</w:t>
      </w:r>
      <w:r>
        <w:rPr>
          <w:rFonts w:hint="eastAsia" w:ascii="仿宋" w:hAnsi="仿宋" w:eastAsia="仿宋" w:cs="仿宋"/>
          <w:sz w:val="32"/>
          <w:szCs w:val="32"/>
        </w:rPr>
        <w:t>万元。</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环江毛南族自治县第二幼儿园2023年度一般公共预算财政拨款支出年初预算为</w:t>
      </w:r>
      <w:r>
        <w:rPr>
          <w:rFonts w:hint="eastAsia" w:ascii="仿宋" w:hAnsi="仿宋" w:eastAsia="仿宋" w:cs="仿宋"/>
          <w:sz w:val="32"/>
        </w:rPr>
        <w:t>491.26</w:t>
      </w:r>
      <w:r>
        <w:rPr>
          <w:rFonts w:hint="eastAsia" w:ascii="仿宋" w:hAnsi="仿宋" w:eastAsia="仿宋" w:cs="仿宋"/>
          <w:sz w:val="32"/>
          <w:szCs w:val="32"/>
        </w:rPr>
        <w:t>万元，支出决算为</w:t>
      </w:r>
      <w:r>
        <w:rPr>
          <w:rFonts w:hint="eastAsia" w:ascii="仿宋" w:hAnsi="仿宋" w:eastAsia="仿宋" w:cs="仿宋"/>
          <w:sz w:val="32"/>
        </w:rPr>
        <w:t>523.24</w:t>
      </w:r>
      <w:r>
        <w:rPr>
          <w:rFonts w:hint="eastAsia" w:ascii="仿宋" w:hAnsi="仿宋" w:eastAsia="仿宋" w:cs="仿宋"/>
          <w:sz w:val="32"/>
          <w:szCs w:val="32"/>
        </w:rPr>
        <w:t>万元，完成年初预算的</w:t>
      </w:r>
      <w:r>
        <w:rPr>
          <w:rFonts w:hint="eastAsia" w:ascii="仿宋" w:hAnsi="仿宋" w:eastAsia="仿宋" w:cs="仿宋"/>
          <w:sz w:val="32"/>
        </w:rPr>
        <w:t>106.51</w:t>
      </w:r>
      <w:r>
        <w:rPr>
          <w:rFonts w:ascii="仿宋" w:hAnsi="仿宋" w:eastAsia="仿宋" w:cs="仿宋"/>
          <w:sz w:val="32"/>
        </w:rPr>
        <w:t>%</w:t>
      </w:r>
      <w:r>
        <w:rPr>
          <w:rFonts w:hint="eastAsia" w:ascii="仿宋" w:hAnsi="仿宋" w:eastAsia="仿宋" w:cs="仿宋"/>
          <w:sz w:val="32"/>
          <w:szCs w:val="32"/>
        </w:rPr>
        <w:t>。</w:t>
      </w:r>
      <w:bookmarkStart w:id="1" w:name="OLE_LINK2"/>
      <w:bookmarkEnd w:id="1"/>
    </w:p>
    <w:p>
      <w:pPr>
        <w:numPr>
          <w:ilvl w:val="0"/>
          <w:numId w:val="1"/>
        </w:numPr>
        <w:jc w:val="left"/>
        <w:rPr>
          <w:rFonts w:eastAsia="仿宋"/>
        </w:rPr>
      </w:pPr>
      <w:r>
        <w:rPr>
          <w:rFonts w:hint="eastAsia" w:ascii="仿宋" w:hAnsi="仿宋" w:eastAsia="仿宋"/>
          <w:sz w:val="32"/>
          <w:szCs w:val="32"/>
        </w:rPr>
        <w:t>一般公共服务支出</w:t>
      </w:r>
      <w:r>
        <w:rPr>
          <w:rFonts w:ascii="仿宋" w:hAnsi="仿宋" w:eastAsia="仿宋"/>
          <w:sz w:val="32"/>
        </w:rPr>
        <w:t>（201</w:t>
      </w:r>
      <w:r>
        <w:rPr>
          <w:rFonts w:hint="eastAsia" w:ascii="仿宋" w:hAnsi="仿宋" w:eastAsia="仿宋"/>
          <w:sz w:val="32"/>
          <w:szCs w:val="32"/>
        </w:rPr>
        <w:t>类）年初预算为4.45万元，支出决算为4.45万元，完成年初预算的</w:t>
      </w:r>
      <w:r>
        <w:rPr>
          <w:rFonts w:ascii="仿宋" w:hAnsi="仿宋" w:eastAsia="仿宋"/>
          <w:sz w:val="32"/>
          <w:szCs w:val="32"/>
        </w:rPr>
        <w:t>100.00%</w:t>
      </w:r>
      <w:r>
        <w:rPr>
          <w:rFonts w:hint="eastAsia" w:ascii="仿宋" w:hAnsi="仿宋" w:eastAsia="仿宋"/>
          <w:sz w:val="32"/>
          <w:szCs w:val="32"/>
        </w:rPr>
        <w:t>。预决算存有差异原因是：</w:t>
      </w:r>
      <w:r>
        <w:rPr>
          <w:rFonts w:hint="eastAsia" w:ascii="仿宋" w:hAnsi="仿宋" w:eastAsia="仿宋" w:cs="仿宋"/>
          <w:sz w:val="32"/>
          <w:szCs w:val="32"/>
        </w:rPr>
        <w:t>无差异。</w:t>
      </w:r>
    </w:p>
    <w:p>
      <w:pPr>
        <w:jc w:val="left"/>
        <w:rPr>
          <w:rFonts w:ascii="仿宋" w:hAnsi="仿宋" w:eastAsia="仿宋"/>
          <w:sz w:val="32"/>
          <w:szCs w:val="32"/>
        </w:rPr>
      </w:pPr>
      <w:r>
        <w:rPr>
          <w:rFonts w:hint="eastAsia" w:ascii="仿宋" w:hAnsi="仿宋" w:eastAsia="仿宋"/>
          <w:sz w:val="32"/>
          <w:szCs w:val="32"/>
        </w:rPr>
        <w:t>支出具体情况如下：</w:t>
      </w:r>
    </w:p>
    <w:tbl>
      <w:tblPr>
        <w:tblStyle w:val="7"/>
        <w:tblW w:w="8524" w:type="dxa"/>
        <w:jc w:val="center"/>
        <w:tblLayout w:type="fixed"/>
        <w:tblCellMar>
          <w:top w:w="0" w:type="dxa"/>
          <w:left w:w="108" w:type="dxa"/>
          <w:bottom w:w="0" w:type="dxa"/>
          <w:right w:w="108" w:type="dxa"/>
        </w:tblCellMar>
      </w:tblPr>
      <w:tblGrid>
        <w:gridCol w:w="943"/>
        <w:gridCol w:w="1076"/>
        <w:gridCol w:w="994"/>
        <w:gridCol w:w="806"/>
        <w:gridCol w:w="1097"/>
        <w:gridCol w:w="1783"/>
        <w:gridCol w:w="1825"/>
      </w:tblGrid>
      <w:tr>
        <w:tblPrEx>
          <w:tblCellMar>
            <w:top w:w="0" w:type="dxa"/>
            <w:left w:w="108" w:type="dxa"/>
            <w:bottom w:w="0" w:type="dxa"/>
            <w:right w:w="108" w:type="dxa"/>
          </w:tblCellMar>
        </w:tblPrEx>
        <w:trPr>
          <w:trHeight w:val="634" w:hRule="atLeast"/>
          <w:jc w:val="center"/>
        </w:trPr>
        <w:tc>
          <w:tcPr>
            <w:tcW w:w="94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原因</w:t>
            </w:r>
          </w:p>
        </w:tc>
      </w:tr>
      <w:tr>
        <w:tblPrEx>
          <w:tblCellMar>
            <w:top w:w="0" w:type="dxa"/>
            <w:left w:w="108" w:type="dxa"/>
            <w:bottom w:w="0" w:type="dxa"/>
            <w:right w:w="108" w:type="dxa"/>
          </w:tblCellMar>
        </w:tblPrEx>
        <w:trPr>
          <w:trHeight w:val="614" w:hRule="atLeast"/>
          <w:jc w:val="center"/>
        </w:trPr>
        <w:tc>
          <w:tcPr>
            <w:tcW w:w="94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4.45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4.45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仿宋" w:hAnsi="仿宋" w:eastAsia="仿宋" w:cs="仿宋"/>
                <w:sz w:val="18"/>
                <w:szCs w:val="18"/>
              </w:rPr>
              <w:t>教职工工会活动费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Cs w:val="21"/>
              </w:rPr>
            </w:pPr>
            <w:r>
              <w:rPr>
                <w:rFonts w:hint="eastAsia" w:ascii="仿宋" w:hAnsi="仿宋" w:eastAsia="仿宋" w:cs="仿宋"/>
                <w:szCs w:val="21"/>
              </w:rPr>
              <w:t>无差异</w:t>
            </w:r>
          </w:p>
        </w:tc>
      </w:tr>
      <w:tr>
        <w:tblPrEx>
          <w:tblCellMar>
            <w:top w:w="0" w:type="dxa"/>
            <w:left w:w="108" w:type="dxa"/>
            <w:bottom w:w="0" w:type="dxa"/>
            <w:right w:w="108" w:type="dxa"/>
          </w:tblCellMar>
        </w:tblPrEx>
        <w:trPr>
          <w:trHeight w:val="614" w:hRule="atLeast"/>
          <w:jc w:val="center"/>
        </w:trPr>
        <w:tc>
          <w:tcPr>
            <w:tcW w:w="94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4.45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4.45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r>
    </w:tbl>
    <w:p>
      <w:pPr>
        <w:rPr>
          <w:rFonts w:hint="eastAsia" w:ascii="仿宋" w:hAnsi="仿宋" w:eastAsia="仿宋"/>
          <w:sz w:val="32"/>
          <w:szCs w:val="32"/>
        </w:rPr>
      </w:pPr>
    </w:p>
    <w:p>
      <w:pPr>
        <w:jc w:val="center"/>
        <w:rPr>
          <w:rFonts w:hint="eastAsia" w:ascii="仿宋" w:hAnsi="仿宋" w:eastAsia="仿宋"/>
          <w:sz w:val="32"/>
          <w:szCs w:val="32"/>
        </w:rPr>
      </w:pPr>
      <w:r>
        <w:rPr>
          <w:rFonts w:hint="eastAsia" w:ascii="仿宋" w:hAnsi="仿宋" w:eastAsia="仿宋"/>
          <w:sz w:val="32"/>
          <w:szCs w:val="32"/>
        </w:rPr>
        <w:drawing>
          <wp:inline distT="0" distB="0" distL="0" distR="0">
            <wp:extent cx="5486400" cy="3200400"/>
            <wp:effectExtent l="19050" t="0" r="19050" b="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rPr>
          <w:rFonts w:ascii="仿宋" w:hAnsi="仿宋" w:eastAsia="仿宋"/>
          <w:sz w:val="32"/>
          <w:szCs w:val="32"/>
        </w:rPr>
      </w:pPr>
    </w:p>
    <w:p>
      <w:pPr>
        <w:numPr>
          <w:ilvl w:val="0"/>
          <w:numId w:val="1"/>
        </w:numPr>
        <w:jc w:val="left"/>
        <w:rPr>
          <w:rFonts w:eastAsia="仿宋"/>
        </w:rPr>
      </w:pPr>
      <w:r>
        <w:rPr>
          <w:rFonts w:hint="eastAsia" w:ascii="仿宋" w:hAnsi="仿宋" w:eastAsia="仿宋"/>
          <w:sz w:val="32"/>
          <w:szCs w:val="32"/>
        </w:rPr>
        <w:t>教育支出</w:t>
      </w:r>
      <w:r>
        <w:rPr>
          <w:rFonts w:ascii="仿宋" w:hAnsi="仿宋" w:eastAsia="仿宋"/>
          <w:sz w:val="32"/>
        </w:rPr>
        <w:t>（205</w:t>
      </w:r>
      <w:r>
        <w:rPr>
          <w:rFonts w:hint="eastAsia" w:ascii="仿宋" w:hAnsi="仿宋" w:eastAsia="仿宋"/>
          <w:sz w:val="32"/>
          <w:szCs w:val="32"/>
        </w:rPr>
        <w:t>类）年初预算为422.23万元，支出决算为431.69万元，完成年初预算的102.24</w:t>
      </w:r>
      <w:r>
        <w:rPr>
          <w:rFonts w:ascii="仿宋" w:hAnsi="仿宋" w:eastAsia="仿宋"/>
          <w:sz w:val="32"/>
          <w:szCs w:val="32"/>
        </w:rPr>
        <w:t>%</w:t>
      </w:r>
      <w:r>
        <w:rPr>
          <w:rFonts w:hint="eastAsia" w:ascii="仿宋" w:hAnsi="仿宋" w:eastAsia="仿宋"/>
          <w:sz w:val="32"/>
          <w:szCs w:val="32"/>
        </w:rPr>
        <w:t>。预决算存有差异原因是：</w:t>
      </w:r>
      <w:r>
        <w:rPr>
          <w:rFonts w:hint="eastAsia" w:ascii="仿宋" w:hAnsi="仿宋" w:eastAsia="仿宋" w:cs="仿宋"/>
          <w:sz w:val="32"/>
          <w:szCs w:val="32"/>
        </w:rPr>
        <w:t>人员增加，调整工资标准。</w:t>
      </w:r>
    </w:p>
    <w:p>
      <w:pPr>
        <w:jc w:val="left"/>
        <w:rPr>
          <w:rFonts w:ascii="仿宋" w:hAnsi="仿宋" w:eastAsia="仿宋"/>
          <w:sz w:val="32"/>
          <w:szCs w:val="32"/>
        </w:rPr>
      </w:pPr>
      <w:r>
        <w:rPr>
          <w:rFonts w:hint="eastAsia" w:ascii="仿宋" w:hAnsi="仿宋" w:eastAsia="仿宋"/>
          <w:sz w:val="32"/>
          <w:szCs w:val="32"/>
        </w:rPr>
        <w:t>支出具体情况如下：</w:t>
      </w:r>
    </w:p>
    <w:tbl>
      <w:tblPr>
        <w:tblStyle w:val="7"/>
        <w:tblW w:w="8536" w:type="dxa"/>
        <w:tblInd w:w="96" w:type="dxa"/>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原因</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2050201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学前教育</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422.23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431.69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sz w:val="18"/>
                <w:szCs w:val="18"/>
                <w:lang w:val="en-US" w:eastAsia="zh-CN"/>
              </w:rPr>
            </w:pPr>
            <w:r>
              <w:rPr>
                <w:rFonts w:hint="eastAsia" w:ascii="宋体" w:hAnsi="宋体" w:eastAsia="宋体" w:cs="宋体"/>
                <w:sz w:val="18"/>
                <w:szCs w:val="18"/>
              </w:rPr>
              <w:t>102.24</w:t>
            </w:r>
            <w:r>
              <w:rPr>
                <w:rFonts w:hint="eastAsia" w:ascii="宋体" w:hAnsi="宋体" w:eastAsia="宋体" w:cs="宋体"/>
                <w:sz w:val="18"/>
                <w:szCs w:val="18"/>
                <w:lang w:val="en-US" w:eastAsia="zh-CN"/>
              </w:rPr>
              <w:t>%</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仿宋" w:hAnsi="仿宋" w:eastAsia="仿宋" w:cs="仿宋"/>
                <w:szCs w:val="21"/>
              </w:rPr>
              <w:t>人员基本工资，商品服务支出。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仿宋" w:hAnsi="仿宋" w:eastAsia="仿宋" w:cs="仿宋"/>
                <w:sz w:val="18"/>
                <w:szCs w:val="18"/>
              </w:rPr>
              <w:t>人员增加，调整工资标准。</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422.23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431.69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sz w:val="18"/>
                <w:szCs w:val="18"/>
                <w:lang w:val="en-US" w:eastAsia="zh-CN"/>
              </w:rPr>
            </w:pPr>
            <w:r>
              <w:rPr>
                <w:rFonts w:hint="eastAsia" w:ascii="宋体" w:hAnsi="宋体" w:eastAsia="宋体" w:cs="宋体"/>
                <w:sz w:val="18"/>
                <w:szCs w:val="18"/>
              </w:rPr>
              <w:t>102.24</w:t>
            </w:r>
            <w:r>
              <w:rPr>
                <w:rFonts w:hint="eastAsia" w:ascii="宋体" w:hAnsi="宋体" w:eastAsia="宋体" w:cs="宋体"/>
                <w:sz w:val="18"/>
                <w:szCs w:val="18"/>
                <w:lang w:val="en-US" w:eastAsia="zh-CN"/>
              </w:rPr>
              <w:t>%</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r>
    </w:tbl>
    <w:p>
      <w:pPr>
        <w:rPr>
          <w:rFonts w:hint="eastAsia" w:ascii="仿宋" w:hAnsi="仿宋" w:eastAsia="仿宋"/>
          <w:sz w:val="32"/>
          <w:szCs w:val="32"/>
        </w:rPr>
      </w:pPr>
    </w:p>
    <w:p>
      <w:pPr>
        <w:rPr>
          <w:rFonts w:hint="eastAsia" w:ascii="仿宋" w:hAnsi="仿宋" w:eastAsia="仿宋"/>
          <w:sz w:val="32"/>
          <w:szCs w:val="32"/>
        </w:rPr>
      </w:pPr>
      <w:r>
        <w:drawing>
          <wp:inline distT="0" distB="0" distL="114300" distR="114300">
            <wp:extent cx="4626610" cy="3822065"/>
            <wp:effectExtent l="0" t="0" r="254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4626610" cy="3822065"/>
                    </a:xfrm>
                    <a:prstGeom prst="rect">
                      <a:avLst/>
                    </a:prstGeom>
                    <a:noFill/>
                    <a:ln>
                      <a:noFill/>
                    </a:ln>
                  </pic:spPr>
                </pic:pic>
              </a:graphicData>
            </a:graphic>
          </wp:inline>
        </w:drawing>
      </w:r>
    </w:p>
    <w:p>
      <w:pPr>
        <w:rPr>
          <w:rFonts w:ascii="仿宋" w:hAnsi="仿宋" w:eastAsia="仿宋"/>
          <w:sz w:val="32"/>
          <w:szCs w:val="32"/>
        </w:rPr>
      </w:pPr>
    </w:p>
    <w:p>
      <w:pPr>
        <w:numPr>
          <w:ilvl w:val="0"/>
          <w:numId w:val="1"/>
        </w:numPr>
        <w:jc w:val="left"/>
        <w:rPr>
          <w:rFonts w:eastAsia="仿宋"/>
        </w:rPr>
      </w:pPr>
      <w:r>
        <w:rPr>
          <w:rFonts w:hint="eastAsia" w:ascii="仿宋" w:hAnsi="仿宋" w:eastAsia="仿宋"/>
          <w:sz w:val="32"/>
          <w:szCs w:val="32"/>
        </w:rPr>
        <w:t>社会保障和就业支出</w:t>
      </w:r>
      <w:r>
        <w:rPr>
          <w:rFonts w:ascii="仿宋" w:hAnsi="仿宋" w:eastAsia="仿宋"/>
          <w:sz w:val="32"/>
        </w:rPr>
        <w:t>（208</w:t>
      </w:r>
      <w:r>
        <w:rPr>
          <w:rFonts w:hint="eastAsia" w:ascii="仿宋" w:hAnsi="仿宋" w:eastAsia="仿宋"/>
          <w:sz w:val="32"/>
          <w:szCs w:val="32"/>
        </w:rPr>
        <w:t>类）年初预算为36.90万元，支出决算为31.80万元，完成年初预算的86.18</w:t>
      </w:r>
      <w:r>
        <w:rPr>
          <w:rFonts w:ascii="仿宋" w:hAnsi="仿宋" w:eastAsia="仿宋"/>
          <w:sz w:val="32"/>
          <w:szCs w:val="32"/>
        </w:rPr>
        <w:t>%</w:t>
      </w:r>
      <w:r>
        <w:rPr>
          <w:rFonts w:hint="eastAsia" w:ascii="仿宋" w:hAnsi="仿宋" w:eastAsia="仿宋"/>
          <w:sz w:val="32"/>
          <w:szCs w:val="32"/>
        </w:rPr>
        <w:t>。预决算存有差异原因是：</w:t>
      </w:r>
      <w:r>
        <w:rPr>
          <w:rFonts w:hint="eastAsia" w:ascii="仿宋" w:hAnsi="仿宋" w:eastAsia="仿宋" w:cs="仿宋"/>
          <w:sz w:val="32"/>
          <w:szCs w:val="32"/>
        </w:rPr>
        <w:t>年初预算缴费基数偏高。</w:t>
      </w:r>
    </w:p>
    <w:p>
      <w:pPr>
        <w:jc w:val="left"/>
        <w:rPr>
          <w:rFonts w:ascii="仿宋" w:hAnsi="仿宋" w:eastAsia="仿宋"/>
          <w:sz w:val="32"/>
          <w:szCs w:val="32"/>
        </w:rPr>
      </w:pPr>
      <w:r>
        <w:rPr>
          <w:rFonts w:hint="eastAsia" w:ascii="仿宋" w:hAnsi="仿宋" w:eastAsia="仿宋"/>
          <w:sz w:val="32"/>
          <w:szCs w:val="32"/>
        </w:rPr>
        <w:t>支出具体情况如下：</w:t>
      </w:r>
    </w:p>
    <w:tbl>
      <w:tblPr>
        <w:tblStyle w:val="7"/>
        <w:tblW w:w="8536" w:type="dxa"/>
        <w:tblInd w:w="96" w:type="dxa"/>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原因</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36.90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31.80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86.18%</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教职工基本养老保险缴费支出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仿宋" w:hAnsi="仿宋" w:eastAsia="仿宋" w:cs="仿宋"/>
                <w:sz w:val="18"/>
                <w:szCs w:val="18"/>
              </w:rPr>
              <w:t>年初预算缴费基数偏高</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36.90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31.80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86.18%</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r>
    </w:tbl>
    <w:p>
      <w:pPr>
        <w:rPr>
          <w:rFonts w:hint="eastAsia" w:ascii="仿宋" w:hAnsi="仿宋" w:eastAsia="仿宋"/>
          <w:sz w:val="32"/>
          <w:szCs w:val="32"/>
        </w:rPr>
      </w:pPr>
    </w:p>
    <w:p>
      <w:pPr>
        <w:rPr>
          <w:rFonts w:hint="eastAsia" w:ascii="仿宋" w:hAnsi="仿宋" w:eastAsia="仿宋"/>
          <w:sz w:val="32"/>
          <w:szCs w:val="32"/>
        </w:rPr>
      </w:pPr>
      <w:r>
        <w:rPr>
          <w:rFonts w:hint="eastAsia" w:ascii="仿宋" w:hAnsi="仿宋" w:eastAsia="仿宋"/>
          <w:sz w:val="32"/>
          <w:szCs w:val="32"/>
        </w:rPr>
        <w:drawing>
          <wp:inline distT="0" distB="0" distL="0" distR="0">
            <wp:extent cx="5486400" cy="3200400"/>
            <wp:effectExtent l="19050" t="0" r="19050" b="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rPr>
          <w:rFonts w:ascii="仿宋" w:hAnsi="仿宋" w:eastAsia="仿宋"/>
          <w:sz w:val="32"/>
          <w:szCs w:val="32"/>
        </w:rPr>
      </w:pPr>
    </w:p>
    <w:p>
      <w:pPr>
        <w:numPr>
          <w:ilvl w:val="0"/>
          <w:numId w:val="1"/>
        </w:numPr>
        <w:jc w:val="left"/>
        <w:rPr>
          <w:rFonts w:eastAsia="仿宋"/>
        </w:rPr>
      </w:pPr>
      <w:r>
        <w:rPr>
          <w:rFonts w:hint="eastAsia" w:ascii="仿宋" w:hAnsi="仿宋" w:eastAsia="仿宋"/>
          <w:sz w:val="32"/>
          <w:szCs w:val="32"/>
        </w:rPr>
        <w:t>住房保障支出</w:t>
      </w:r>
      <w:r>
        <w:rPr>
          <w:rFonts w:ascii="仿宋" w:hAnsi="仿宋" w:eastAsia="仿宋"/>
          <w:sz w:val="32"/>
        </w:rPr>
        <w:t>（221</w:t>
      </w:r>
      <w:r>
        <w:rPr>
          <w:rFonts w:hint="eastAsia" w:ascii="仿宋" w:hAnsi="仿宋" w:eastAsia="仿宋"/>
          <w:sz w:val="32"/>
          <w:szCs w:val="32"/>
        </w:rPr>
        <w:t>类）年初预算为27.68万元，支出决算为23.12万元，完成年初预算的83.53</w:t>
      </w:r>
      <w:r>
        <w:rPr>
          <w:rFonts w:ascii="仿宋" w:hAnsi="仿宋" w:eastAsia="仿宋"/>
          <w:sz w:val="32"/>
          <w:szCs w:val="32"/>
        </w:rPr>
        <w:t>%</w:t>
      </w:r>
      <w:r>
        <w:rPr>
          <w:rFonts w:hint="eastAsia" w:ascii="仿宋" w:hAnsi="仿宋" w:eastAsia="仿宋"/>
          <w:sz w:val="32"/>
          <w:szCs w:val="32"/>
        </w:rPr>
        <w:t>。预决算存有差异原因是：</w:t>
      </w:r>
      <w:r>
        <w:rPr>
          <w:rFonts w:hint="eastAsia" w:ascii="仿宋" w:hAnsi="仿宋" w:eastAsia="仿宋" w:cs="仿宋"/>
          <w:sz w:val="32"/>
          <w:szCs w:val="32"/>
        </w:rPr>
        <w:t>年初预算缴费基数偏高。</w:t>
      </w:r>
    </w:p>
    <w:p>
      <w:pPr>
        <w:jc w:val="left"/>
        <w:rPr>
          <w:rFonts w:ascii="仿宋" w:hAnsi="仿宋" w:eastAsia="仿宋"/>
          <w:sz w:val="32"/>
          <w:szCs w:val="32"/>
        </w:rPr>
      </w:pPr>
      <w:r>
        <w:rPr>
          <w:rFonts w:hint="eastAsia" w:ascii="仿宋" w:hAnsi="仿宋" w:eastAsia="仿宋"/>
          <w:sz w:val="32"/>
          <w:szCs w:val="32"/>
        </w:rPr>
        <w:t>支出具体情况如下：</w:t>
      </w:r>
    </w:p>
    <w:tbl>
      <w:tblPr>
        <w:tblStyle w:val="7"/>
        <w:tblW w:w="8536" w:type="dxa"/>
        <w:tblInd w:w="96" w:type="dxa"/>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原因</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27.68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23.12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83.53%</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仿宋" w:hAnsi="仿宋" w:eastAsia="仿宋" w:cs="仿宋"/>
                <w:szCs w:val="21"/>
              </w:rPr>
              <w:t>教职工住房公积金支出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仿宋" w:hAnsi="仿宋" w:eastAsia="仿宋" w:cs="仿宋"/>
                <w:sz w:val="18"/>
                <w:szCs w:val="18"/>
              </w:rPr>
              <w:t>年初预算缴费基数偏高</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27.68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23.12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83.53%</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r>
    </w:tbl>
    <w:p>
      <w:pPr>
        <w:rPr>
          <w:rFonts w:hint="eastAsia" w:ascii="仿宋" w:hAnsi="仿宋" w:eastAsia="仿宋"/>
          <w:sz w:val="32"/>
          <w:szCs w:val="32"/>
        </w:rPr>
      </w:pPr>
    </w:p>
    <w:p>
      <w:pPr>
        <w:rPr>
          <w:rFonts w:hint="eastAsia" w:ascii="仿宋" w:hAnsi="仿宋" w:eastAsia="仿宋"/>
          <w:sz w:val="32"/>
          <w:szCs w:val="32"/>
        </w:rPr>
      </w:pPr>
      <w:r>
        <w:rPr>
          <w:rFonts w:hint="eastAsia" w:ascii="仿宋" w:hAnsi="仿宋" w:eastAsia="仿宋"/>
          <w:sz w:val="32"/>
          <w:szCs w:val="32"/>
        </w:rPr>
        <w:drawing>
          <wp:inline distT="0" distB="0" distL="0" distR="0">
            <wp:extent cx="5486400" cy="3200400"/>
            <wp:effectExtent l="19050" t="0" r="19050" b="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rPr>
          <w:rFonts w:ascii="仿宋" w:hAnsi="仿宋" w:eastAsia="仿宋"/>
          <w:sz w:val="32"/>
          <w:szCs w:val="32"/>
        </w:rPr>
      </w:pPr>
    </w:p>
    <w:p>
      <w:pPr>
        <w:numPr>
          <w:ilvl w:val="0"/>
          <w:numId w:val="1"/>
        </w:numPr>
        <w:jc w:val="left"/>
        <w:rPr>
          <w:rFonts w:hint="eastAsia" w:ascii="仿宋" w:hAnsi="仿宋" w:eastAsia="仿宋" w:cs="仿宋"/>
          <w:sz w:val="30"/>
          <w:szCs w:val="30"/>
        </w:rPr>
      </w:pPr>
      <w:r>
        <w:rPr>
          <w:rFonts w:hint="eastAsia" w:ascii="仿宋" w:hAnsi="仿宋" w:eastAsia="仿宋"/>
          <w:sz w:val="32"/>
          <w:szCs w:val="32"/>
        </w:rPr>
        <w:t>其他支出</w:t>
      </w:r>
      <w:r>
        <w:rPr>
          <w:rFonts w:ascii="仿宋" w:hAnsi="仿宋" w:eastAsia="仿宋"/>
          <w:sz w:val="32"/>
        </w:rPr>
        <w:t>（229</w:t>
      </w:r>
      <w:r>
        <w:rPr>
          <w:rFonts w:hint="eastAsia" w:ascii="仿宋" w:hAnsi="仿宋" w:eastAsia="仿宋"/>
          <w:sz w:val="32"/>
          <w:szCs w:val="32"/>
        </w:rPr>
        <w:t>类）年初预算为</w:t>
      </w:r>
      <w:r>
        <w:rPr>
          <w:rFonts w:ascii="仿宋" w:hAnsi="仿宋" w:eastAsia="仿宋"/>
          <w:sz w:val="32"/>
          <w:szCs w:val="32"/>
        </w:rPr>
        <w:t>0.00</w:t>
      </w:r>
      <w:r>
        <w:rPr>
          <w:rFonts w:hint="eastAsia" w:ascii="仿宋" w:hAnsi="仿宋" w:eastAsia="仿宋"/>
          <w:sz w:val="32"/>
          <w:szCs w:val="32"/>
        </w:rPr>
        <w:t>万元，支出决算为32.18万元。预决算存有差异原因是：</w:t>
      </w:r>
      <w:r>
        <w:rPr>
          <w:rFonts w:hint="eastAsia" w:ascii="仿宋" w:hAnsi="仿宋" w:eastAsia="仿宋" w:cs="仿宋"/>
          <w:sz w:val="30"/>
          <w:szCs w:val="30"/>
          <w:lang w:val="en-US" w:eastAsia="zh-CN"/>
        </w:rPr>
        <w:t>此部分资金由上级部门预算直接下达，本部门无需做预算。</w:t>
      </w:r>
    </w:p>
    <w:p>
      <w:pPr>
        <w:jc w:val="left"/>
        <w:rPr>
          <w:rFonts w:ascii="仿宋" w:hAnsi="仿宋" w:eastAsia="仿宋"/>
          <w:sz w:val="32"/>
          <w:szCs w:val="32"/>
        </w:rPr>
      </w:pPr>
      <w:r>
        <w:rPr>
          <w:rFonts w:hint="eastAsia" w:ascii="仿宋" w:hAnsi="仿宋" w:eastAsia="仿宋"/>
          <w:sz w:val="32"/>
          <w:szCs w:val="32"/>
        </w:rPr>
        <w:t>支出具体情况如下：</w:t>
      </w:r>
    </w:p>
    <w:tbl>
      <w:tblPr>
        <w:tblStyle w:val="7"/>
        <w:tblW w:w="8536" w:type="dxa"/>
        <w:tblInd w:w="96" w:type="dxa"/>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原因</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32.18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发放绩效考评奖金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此部分资金由上级部门预算直接下达，本部门无需做预算。</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32.18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r>
    </w:tbl>
    <w:p>
      <w:pPr>
        <w:rPr>
          <w:rFonts w:hint="eastAsia" w:ascii="仿宋" w:hAnsi="仿宋" w:eastAsia="仿宋"/>
          <w:sz w:val="32"/>
          <w:szCs w:val="32"/>
        </w:rPr>
      </w:pPr>
    </w:p>
    <w:p>
      <w:pPr>
        <w:rPr>
          <w:rFonts w:hint="eastAsia" w:ascii="仿宋" w:hAnsi="仿宋" w:eastAsia="仿宋"/>
          <w:sz w:val="32"/>
          <w:szCs w:val="32"/>
        </w:rPr>
      </w:pPr>
      <w:r>
        <w:rPr>
          <w:rFonts w:hint="eastAsia" w:ascii="仿宋" w:hAnsi="仿宋" w:eastAsia="仿宋"/>
          <w:sz w:val="32"/>
          <w:szCs w:val="32"/>
        </w:rPr>
        <w:drawing>
          <wp:inline distT="0" distB="0" distL="0" distR="0">
            <wp:extent cx="5486400" cy="3200400"/>
            <wp:effectExtent l="19050" t="0" r="1905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rPr>
          <w:rFonts w:ascii="仿宋" w:hAnsi="仿宋" w:eastAsia="仿宋"/>
          <w:sz w:val="32"/>
          <w:szCs w:val="32"/>
        </w:rPr>
      </w:pPr>
    </w:p>
    <w:p>
      <w:pPr>
        <w:jc w:val="left"/>
        <w:rPr>
          <w:rFonts w:ascii="仿宋" w:hAnsi="仿宋" w:eastAsia="仿宋" w:cs="仿宋"/>
          <w:sz w:val="32"/>
          <w:szCs w:val="32"/>
        </w:rPr>
      </w:pPr>
      <w:r>
        <w:rPr>
          <w:rFonts w:hint="eastAsia" w:ascii="黑体" w:hAnsi="黑体" w:eastAsia="黑体" w:cs="黑体"/>
          <w:sz w:val="32"/>
          <w:szCs w:val="32"/>
        </w:rPr>
        <w:t>三、2023年度一般公共预算财政拨款基本支出决算情况说明</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环江毛南族自治县第二幼儿园2023年度一般公共预算财政拨款基本支出</w:t>
      </w:r>
      <w:r>
        <w:rPr>
          <w:rFonts w:hint="eastAsia" w:ascii="仿宋" w:hAnsi="仿宋" w:eastAsia="仿宋" w:cs="仿宋"/>
          <w:sz w:val="32"/>
        </w:rPr>
        <w:t>319.16</w:t>
      </w:r>
      <w:r>
        <w:rPr>
          <w:rFonts w:hint="eastAsia" w:ascii="仿宋" w:hAnsi="仿宋" w:eastAsia="仿宋" w:cs="仿宋"/>
          <w:sz w:val="32"/>
          <w:szCs w:val="32"/>
        </w:rPr>
        <w:t>万元，</w:t>
      </w:r>
      <w:r>
        <w:rPr>
          <w:rFonts w:ascii="仿宋_GB2312" w:hAnsi="微软雅黑" w:eastAsia="仿宋_GB2312" w:cs="仿宋_GB2312"/>
          <w:sz w:val="31"/>
          <w:szCs w:val="31"/>
          <w:shd w:val="clear" w:color="auto" w:fill="FFFFFF"/>
        </w:rPr>
        <w:t>其中：人员经费支出</w:t>
      </w:r>
      <w:r>
        <w:rPr>
          <w:rFonts w:hint="eastAsia" w:ascii="仿宋" w:hAnsi="仿宋" w:eastAsia="仿宋" w:cs="仿宋"/>
          <w:sz w:val="32"/>
          <w:szCs w:val="32"/>
        </w:rPr>
        <w:t>314.71</w:t>
      </w:r>
      <w:r>
        <w:rPr>
          <w:rFonts w:ascii="仿宋_GB2312" w:hAnsi="微软雅黑" w:eastAsia="仿宋_GB2312" w:cs="仿宋_GB2312"/>
          <w:sz w:val="31"/>
          <w:szCs w:val="31"/>
          <w:shd w:val="clear" w:color="auto" w:fill="FFFFFF"/>
        </w:rPr>
        <w:t>万元，公用经费支出</w:t>
      </w:r>
      <w:r>
        <w:rPr>
          <w:rFonts w:hint="eastAsia" w:ascii="仿宋" w:hAnsi="仿宋" w:eastAsia="仿宋" w:cs="仿宋"/>
          <w:sz w:val="32"/>
          <w:szCs w:val="32"/>
        </w:rPr>
        <w:t>4.45</w:t>
      </w:r>
      <w:r>
        <w:rPr>
          <w:rFonts w:ascii="仿宋_GB2312" w:hAnsi="微软雅黑" w:eastAsia="仿宋_GB2312" w:cs="仿宋_GB2312"/>
          <w:sz w:val="31"/>
          <w:szCs w:val="31"/>
          <w:shd w:val="clear" w:color="auto" w:fill="FFFFFF"/>
        </w:rPr>
        <w:t>万元，</w:t>
      </w:r>
      <w:r>
        <w:rPr>
          <w:rFonts w:hint="eastAsia" w:ascii="仿宋" w:hAnsi="仿宋" w:eastAsia="仿宋" w:cs="仿宋"/>
          <w:sz w:val="32"/>
          <w:szCs w:val="32"/>
        </w:rPr>
        <w:t>支出具体情况如下：</w:t>
      </w:r>
    </w:p>
    <w:p>
      <w:pPr>
        <w:numPr>
          <w:ilvl w:val="0"/>
          <w:numId w:val="2"/>
        </w:numPr>
        <w:jc w:val="left"/>
        <w:rPr>
          <w:rFonts w:ascii="仿宋" w:hAnsi="仿宋" w:eastAsia="仿宋" w:cs="仿宋"/>
          <w:sz w:val="32"/>
          <w:szCs w:val="32"/>
        </w:rPr>
      </w:pPr>
      <w:r>
        <w:rPr>
          <w:rFonts w:hint="eastAsia" w:ascii="仿宋" w:hAnsi="仿宋" w:eastAsia="仿宋" w:cs="仿宋"/>
          <w:sz w:val="32"/>
          <w:szCs w:val="32"/>
        </w:rPr>
        <w:t>工资福利支出</w:t>
      </w:r>
      <w:r>
        <w:rPr>
          <w:rFonts w:hint="eastAsia" w:ascii="仿宋" w:hAnsi="仿宋" w:eastAsia="仿宋" w:cs="仿宋"/>
          <w:sz w:val="32"/>
        </w:rPr>
        <w:t>314.71</w:t>
      </w:r>
      <w:r>
        <w:rPr>
          <w:rFonts w:ascii="仿宋" w:hAnsi="仿宋" w:eastAsia="仿宋" w:cs="仿宋"/>
          <w:sz w:val="32"/>
        </w:rPr>
        <w:t>万元，</w:t>
      </w:r>
      <w:r>
        <w:rPr>
          <w:rFonts w:ascii="仿宋_GB2312" w:hAnsi="微软雅黑" w:eastAsia="仿宋_GB2312" w:cs="仿宋_GB2312"/>
          <w:sz w:val="31"/>
          <w:szCs w:val="31"/>
          <w:shd w:val="clear" w:color="auto" w:fill="FFFFFF"/>
        </w:rPr>
        <w:t>完成年初预算的</w:t>
      </w:r>
      <w:r>
        <w:rPr>
          <w:rFonts w:hint="eastAsia" w:ascii="仿宋" w:hAnsi="仿宋" w:eastAsia="仿宋" w:cs="仿宋"/>
          <w:sz w:val="32"/>
          <w:szCs w:val="32"/>
        </w:rPr>
        <w:t>117.78%</w:t>
      </w:r>
      <w:r>
        <w:rPr>
          <w:rFonts w:ascii="仿宋_GB2312" w:hAnsi="微软雅黑" w:eastAsia="仿宋_GB2312" w:cs="仿宋_GB2312"/>
          <w:sz w:val="31"/>
          <w:szCs w:val="31"/>
          <w:shd w:val="clear" w:color="auto" w:fill="FFFFFF"/>
        </w:rPr>
        <w:t>，</w:t>
      </w:r>
      <w:r>
        <w:rPr>
          <w:rFonts w:hint="eastAsia" w:ascii="仿宋" w:hAnsi="仿宋" w:eastAsia="仿宋" w:cs="仿宋"/>
          <w:sz w:val="32"/>
          <w:szCs w:val="32"/>
        </w:rPr>
        <w:t>主要原因是：本部门2023年度新公招8名教师控制数；2023年度调整工资标准；职工五险一金基数调整。</w:t>
      </w:r>
    </w:p>
    <w:p>
      <w:pPr>
        <w:jc w:val="left"/>
        <w:rPr>
          <w:rFonts w:hint="eastAsia" w:ascii="仿宋" w:hAnsi="仿宋" w:eastAsia="仿宋" w:cs="仿宋"/>
          <w:sz w:val="32"/>
          <w:szCs w:val="32"/>
        </w:rPr>
      </w:pPr>
      <w:r>
        <w:rPr>
          <w:rFonts w:hint="eastAsia" w:ascii="仿宋" w:hAnsi="仿宋" w:eastAsia="仿宋"/>
          <w:sz w:val="32"/>
          <w:szCs w:val="32"/>
        </w:rPr>
        <w:t>支出具体情况如下</w:t>
      </w:r>
      <w:r>
        <w:rPr>
          <w:rFonts w:hint="eastAsia" w:ascii="仿宋" w:hAnsi="仿宋" w:eastAsia="仿宋" w:cs="仿宋"/>
          <w:sz w:val="32"/>
          <w:szCs w:val="32"/>
        </w:rPr>
        <w:t>：30101基本工资106.71万元，30102津贴补贴9.31万元，30103奖金74.80万元，30107绩效工资54.59万元，30108机关事业单位基本养老保险缴费31.80万元，30110职工基本医疗保险缴费12.81万元，30112其他社会保障缴费1.57万元，30113住房公积金23.12万元。</w:t>
      </w:r>
    </w:p>
    <w:p>
      <w:pPr>
        <w:jc w:val="center"/>
        <w:rPr>
          <w:rFonts w:hint="eastAsia" w:ascii="仿宋" w:hAnsi="仿宋" w:eastAsia="仿宋" w:cs="仿宋"/>
          <w:sz w:val="32"/>
          <w:szCs w:val="32"/>
        </w:rPr>
      </w:pPr>
      <w:r>
        <w:rPr>
          <w:rFonts w:hint="eastAsia" w:ascii="仿宋" w:hAnsi="仿宋" w:eastAsia="仿宋" w:cs="仿宋"/>
          <w:sz w:val="32"/>
          <w:szCs w:val="32"/>
        </w:rPr>
        <w:drawing>
          <wp:inline distT="0" distB="0" distL="114300" distR="114300">
            <wp:extent cx="4474845" cy="3215640"/>
            <wp:effectExtent l="4445" t="4445" r="16510" b="18415"/>
            <wp:docPr id="1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jc w:val="center"/>
        <w:rPr>
          <w:rFonts w:ascii="仿宋" w:hAnsi="仿宋" w:eastAsia="仿宋" w:cs="仿宋"/>
          <w:sz w:val="32"/>
          <w:szCs w:val="32"/>
        </w:rPr>
      </w:pPr>
    </w:p>
    <w:p>
      <w:pPr>
        <w:numPr>
          <w:ilvl w:val="0"/>
          <w:numId w:val="2"/>
        </w:numPr>
        <w:jc w:val="left"/>
        <w:rPr>
          <w:rFonts w:ascii="仿宋" w:hAnsi="仿宋" w:eastAsia="仿宋" w:cs="仿宋"/>
          <w:sz w:val="32"/>
          <w:szCs w:val="32"/>
        </w:rPr>
      </w:pPr>
      <w:r>
        <w:rPr>
          <w:rFonts w:hint="eastAsia" w:ascii="仿宋" w:hAnsi="仿宋" w:eastAsia="仿宋" w:cs="仿宋"/>
          <w:sz w:val="32"/>
          <w:szCs w:val="32"/>
        </w:rPr>
        <w:t>商品和服务支出</w:t>
      </w:r>
      <w:r>
        <w:rPr>
          <w:rFonts w:hint="eastAsia" w:ascii="仿宋" w:hAnsi="仿宋" w:eastAsia="仿宋" w:cs="仿宋"/>
          <w:sz w:val="32"/>
        </w:rPr>
        <w:t>4.45</w:t>
      </w:r>
      <w:r>
        <w:rPr>
          <w:rFonts w:ascii="仿宋" w:hAnsi="仿宋" w:eastAsia="仿宋" w:cs="仿宋"/>
          <w:sz w:val="32"/>
        </w:rPr>
        <w:t>万元，</w:t>
      </w:r>
      <w:r>
        <w:rPr>
          <w:rFonts w:ascii="仿宋_GB2312" w:hAnsi="微软雅黑" w:eastAsia="仿宋_GB2312" w:cs="仿宋_GB2312"/>
          <w:sz w:val="31"/>
          <w:szCs w:val="31"/>
          <w:shd w:val="clear" w:color="auto" w:fill="FFFFFF"/>
        </w:rPr>
        <w:t>完成年初预算的</w:t>
      </w:r>
      <w:r>
        <w:rPr>
          <w:rFonts w:hint="eastAsia" w:ascii="仿宋" w:hAnsi="仿宋" w:eastAsia="仿宋" w:cs="仿宋"/>
          <w:sz w:val="32"/>
          <w:szCs w:val="32"/>
        </w:rPr>
        <w:t>100%</w:t>
      </w:r>
      <w:r>
        <w:rPr>
          <w:rFonts w:ascii="仿宋_GB2312" w:hAnsi="微软雅黑" w:eastAsia="仿宋_GB2312" w:cs="仿宋_GB2312"/>
          <w:sz w:val="31"/>
          <w:szCs w:val="31"/>
          <w:shd w:val="clear" w:color="auto" w:fill="FFFFFF"/>
        </w:rPr>
        <w:t>，</w:t>
      </w:r>
      <w:r>
        <w:rPr>
          <w:rFonts w:hint="eastAsia" w:ascii="仿宋" w:hAnsi="仿宋" w:eastAsia="仿宋" w:cs="仿宋"/>
          <w:sz w:val="32"/>
          <w:szCs w:val="32"/>
        </w:rPr>
        <w:t>主要原因是：无差异。</w:t>
      </w:r>
    </w:p>
    <w:p>
      <w:pPr>
        <w:jc w:val="left"/>
        <w:rPr>
          <w:rFonts w:hint="eastAsia" w:ascii="仿宋" w:hAnsi="仿宋" w:eastAsia="仿宋" w:cs="仿宋"/>
          <w:sz w:val="32"/>
          <w:szCs w:val="32"/>
        </w:rPr>
      </w:pPr>
      <w:r>
        <w:rPr>
          <w:rFonts w:hint="eastAsia" w:ascii="仿宋" w:hAnsi="仿宋" w:eastAsia="仿宋"/>
          <w:sz w:val="32"/>
          <w:szCs w:val="32"/>
        </w:rPr>
        <w:t>支出具体情况如下</w:t>
      </w:r>
      <w:r>
        <w:rPr>
          <w:rFonts w:hint="eastAsia" w:ascii="仿宋" w:hAnsi="仿宋" w:eastAsia="仿宋" w:cs="仿宋"/>
          <w:sz w:val="32"/>
          <w:szCs w:val="32"/>
        </w:rPr>
        <w:t>：30228工会经费4.45万元。</w:t>
      </w:r>
    </w:p>
    <w:p>
      <w:pPr>
        <w:jc w:val="center"/>
        <w:rPr>
          <w:rFonts w:hint="eastAsia" w:ascii="仿宋" w:hAnsi="仿宋" w:eastAsia="仿宋" w:cs="仿宋"/>
          <w:sz w:val="32"/>
          <w:szCs w:val="32"/>
        </w:rPr>
      </w:pPr>
      <w:r>
        <w:rPr>
          <w:rFonts w:hint="eastAsia" w:ascii="仿宋" w:hAnsi="仿宋" w:eastAsia="仿宋" w:cs="仿宋"/>
          <w:sz w:val="32"/>
          <w:szCs w:val="32"/>
        </w:rPr>
        <w:drawing>
          <wp:inline distT="0" distB="0" distL="114300" distR="114300">
            <wp:extent cx="4474845" cy="3215640"/>
            <wp:effectExtent l="4445" t="4445" r="16510" b="18415"/>
            <wp:docPr id="1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jc w:val="left"/>
        <w:rPr>
          <w:rFonts w:ascii="仿宋" w:hAnsi="仿宋" w:eastAsia="仿宋" w:cs="仿宋"/>
          <w:sz w:val="32"/>
          <w:szCs w:val="32"/>
        </w:rPr>
      </w:pPr>
    </w:p>
    <w:p>
      <w:pPr>
        <w:numPr>
          <w:ilvl w:val="0"/>
          <w:numId w:val="2"/>
        </w:numPr>
        <w:jc w:val="left"/>
        <w:rPr>
          <w:rFonts w:hint="eastAsia" w:ascii="仿宋" w:hAnsi="仿宋" w:eastAsia="仿宋" w:cs="仿宋"/>
          <w:sz w:val="32"/>
          <w:szCs w:val="32"/>
        </w:rPr>
      </w:pPr>
      <w:r>
        <w:rPr>
          <w:rFonts w:hint="eastAsia" w:ascii="仿宋" w:hAnsi="仿宋" w:eastAsia="仿宋" w:cs="仿宋"/>
          <w:sz w:val="32"/>
          <w:szCs w:val="32"/>
        </w:rPr>
        <w:t>对个人和家庭的补助</w:t>
      </w:r>
      <w:r>
        <w:rPr>
          <w:rFonts w:ascii="仿宋" w:hAnsi="仿宋" w:eastAsia="仿宋" w:cs="仿宋"/>
          <w:sz w:val="32"/>
        </w:rPr>
        <w:t>0.00万元，</w:t>
      </w:r>
      <w:r>
        <w:rPr>
          <w:rFonts w:ascii="仿宋_GB2312" w:hAnsi="微软雅黑" w:eastAsia="仿宋_GB2312" w:cs="仿宋_GB2312"/>
          <w:sz w:val="31"/>
          <w:szCs w:val="31"/>
          <w:shd w:val="clear" w:color="auto" w:fill="FFFFFF"/>
        </w:rPr>
        <w:t>完成年初预算的</w:t>
      </w:r>
      <w:r>
        <w:rPr>
          <w:rFonts w:hint="eastAsia" w:ascii="仿宋" w:hAnsi="仿宋" w:eastAsia="仿宋" w:cs="仿宋"/>
          <w:sz w:val="32"/>
          <w:szCs w:val="32"/>
        </w:rPr>
        <w:t>0%</w:t>
      </w:r>
      <w:r>
        <w:rPr>
          <w:rFonts w:ascii="仿宋_GB2312" w:hAnsi="微软雅黑" w:eastAsia="仿宋_GB2312" w:cs="仿宋_GB2312"/>
          <w:sz w:val="31"/>
          <w:szCs w:val="31"/>
          <w:shd w:val="clear" w:color="auto" w:fill="FFFFFF"/>
        </w:rPr>
        <w:t>，</w:t>
      </w:r>
      <w:r>
        <w:rPr>
          <w:rFonts w:hint="eastAsia" w:ascii="仿宋" w:hAnsi="仿宋" w:eastAsia="仿宋" w:cs="仿宋"/>
          <w:sz w:val="32"/>
          <w:szCs w:val="32"/>
        </w:rPr>
        <w:t>（简要说明预决算差异）主要原因是：本单位无对个人和家庭的补助。</w:t>
      </w:r>
    </w:p>
    <w:p>
      <w:pPr>
        <w:jc w:val="left"/>
        <w:rPr>
          <w:rFonts w:hint="eastAsia" w:ascii="仿宋" w:hAnsi="仿宋" w:eastAsia="仿宋" w:cs="仿宋"/>
          <w:sz w:val="32"/>
          <w:szCs w:val="32"/>
        </w:rPr>
      </w:pPr>
      <w:r>
        <w:rPr>
          <w:rFonts w:hint="eastAsia" w:ascii="仿宋" w:hAnsi="仿宋" w:eastAsia="仿宋" w:cs="仿宋"/>
          <w:sz w:val="32"/>
          <w:szCs w:val="32"/>
        </w:rPr>
        <w:t>支出具体情况如下：</w:t>
      </w:r>
    </w:p>
    <w:p>
      <w:pPr>
        <w:ind w:left="420"/>
        <w:jc w:val="center"/>
        <w:rPr>
          <w:rFonts w:hint="eastAsia" w:ascii="仿宋" w:hAnsi="仿宋" w:eastAsia="仿宋" w:cs="仿宋"/>
          <w:sz w:val="32"/>
          <w:szCs w:val="32"/>
        </w:rPr>
      </w:pPr>
      <w:r>
        <w:rPr>
          <w:rFonts w:hint="eastAsia" w:ascii="仿宋" w:hAnsi="仿宋" w:eastAsia="仿宋" w:cs="仿宋"/>
          <w:sz w:val="32"/>
          <w:szCs w:val="32"/>
        </w:rPr>
        <w:drawing>
          <wp:inline distT="0" distB="0" distL="114300" distR="114300">
            <wp:extent cx="4474845" cy="3215640"/>
            <wp:effectExtent l="4445" t="4445" r="16510" b="18415"/>
            <wp:docPr id="2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ind w:left="420"/>
        <w:jc w:val="left"/>
        <w:rPr>
          <w:rFonts w:ascii="仿宋" w:hAnsi="仿宋" w:eastAsia="仿宋" w:cs="仿宋"/>
          <w:sz w:val="32"/>
          <w:szCs w:val="32"/>
        </w:rPr>
      </w:pPr>
    </w:p>
    <w:p>
      <w:pPr>
        <w:numPr>
          <w:ilvl w:val="0"/>
          <w:numId w:val="2"/>
        </w:numPr>
        <w:jc w:val="left"/>
        <w:rPr>
          <w:rFonts w:hint="eastAsia" w:ascii="仿宋" w:hAnsi="仿宋" w:eastAsia="仿宋" w:cs="仿宋"/>
          <w:sz w:val="32"/>
          <w:szCs w:val="32"/>
        </w:rPr>
      </w:pPr>
      <w:r>
        <w:rPr>
          <w:rFonts w:hint="eastAsia" w:ascii="仿宋" w:hAnsi="仿宋" w:eastAsia="仿宋" w:cs="仿宋"/>
          <w:sz w:val="32"/>
          <w:szCs w:val="32"/>
        </w:rPr>
        <w:t>债务利息及费用支出</w:t>
      </w:r>
      <w:r>
        <w:rPr>
          <w:rFonts w:ascii="仿宋" w:hAnsi="仿宋" w:eastAsia="仿宋" w:cs="仿宋"/>
          <w:sz w:val="32"/>
        </w:rPr>
        <w:t>0.00万元，</w:t>
      </w:r>
      <w:r>
        <w:rPr>
          <w:rFonts w:ascii="仿宋_GB2312" w:hAnsi="微软雅黑" w:eastAsia="仿宋_GB2312" w:cs="仿宋_GB2312"/>
          <w:sz w:val="31"/>
          <w:szCs w:val="31"/>
          <w:shd w:val="clear" w:color="auto" w:fill="FFFFFF"/>
        </w:rPr>
        <w:t>完成年初预算的</w:t>
      </w:r>
      <w:r>
        <w:rPr>
          <w:rFonts w:hint="eastAsia" w:ascii="仿宋" w:hAnsi="仿宋" w:eastAsia="仿宋" w:cs="仿宋"/>
          <w:sz w:val="32"/>
          <w:szCs w:val="32"/>
        </w:rPr>
        <w:t>0%</w:t>
      </w:r>
      <w:r>
        <w:rPr>
          <w:rFonts w:ascii="仿宋_GB2312" w:hAnsi="微软雅黑" w:eastAsia="仿宋_GB2312" w:cs="仿宋_GB2312"/>
          <w:sz w:val="31"/>
          <w:szCs w:val="31"/>
          <w:shd w:val="clear" w:color="auto" w:fill="FFFFFF"/>
        </w:rPr>
        <w:t>，</w:t>
      </w:r>
      <w:r>
        <w:rPr>
          <w:rFonts w:hint="eastAsia" w:ascii="仿宋" w:hAnsi="仿宋" w:eastAsia="仿宋" w:cs="仿宋"/>
          <w:sz w:val="32"/>
          <w:szCs w:val="32"/>
        </w:rPr>
        <w:t>（简要说明预决算差异）主要原因是：无债务利息及费用支出。</w:t>
      </w:r>
    </w:p>
    <w:p>
      <w:pPr>
        <w:jc w:val="left"/>
        <w:rPr>
          <w:rFonts w:hint="eastAsia" w:ascii="仿宋" w:hAnsi="仿宋" w:eastAsia="仿宋" w:cs="仿宋"/>
          <w:sz w:val="32"/>
          <w:szCs w:val="32"/>
        </w:rPr>
      </w:pPr>
      <w:r>
        <w:rPr>
          <w:rFonts w:hint="eastAsia" w:ascii="仿宋" w:hAnsi="仿宋" w:eastAsia="仿宋" w:cs="仿宋"/>
          <w:sz w:val="32"/>
          <w:szCs w:val="32"/>
        </w:rPr>
        <w:t>支出具体情况如下：</w:t>
      </w:r>
    </w:p>
    <w:p>
      <w:pPr>
        <w:ind w:left="420"/>
        <w:jc w:val="center"/>
        <w:rPr>
          <w:rFonts w:hint="eastAsia" w:ascii="仿宋" w:hAnsi="仿宋" w:eastAsia="仿宋" w:cs="仿宋"/>
          <w:sz w:val="32"/>
          <w:szCs w:val="32"/>
        </w:rPr>
      </w:pPr>
      <w:r>
        <w:rPr>
          <w:rFonts w:hint="eastAsia" w:ascii="仿宋" w:hAnsi="仿宋" w:eastAsia="仿宋" w:cs="仿宋"/>
          <w:sz w:val="32"/>
          <w:szCs w:val="32"/>
        </w:rPr>
        <w:drawing>
          <wp:inline distT="0" distB="0" distL="114300" distR="114300">
            <wp:extent cx="4474845" cy="3215640"/>
            <wp:effectExtent l="4445" t="4445" r="16510" b="18415"/>
            <wp:docPr id="2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ind w:left="420"/>
        <w:jc w:val="left"/>
        <w:rPr>
          <w:rFonts w:ascii="仿宋" w:hAnsi="仿宋" w:eastAsia="仿宋" w:cs="仿宋"/>
          <w:sz w:val="32"/>
          <w:szCs w:val="32"/>
        </w:rPr>
      </w:pPr>
    </w:p>
    <w:p>
      <w:pPr>
        <w:numPr>
          <w:ilvl w:val="0"/>
          <w:numId w:val="2"/>
        </w:numPr>
        <w:jc w:val="left"/>
        <w:rPr>
          <w:rFonts w:hint="eastAsia" w:ascii="仿宋" w:hAnsi="仿宋" w:eastAsia="仿宋" w:cs="仿宋"/>
          <w:sz w:val="32"/>
          <w:szCs w:val="32"/>
        </w:rPr>
      </w:pPr>
      <w:r>
        <w:rPr>
          <w:rFonts w:hint="eastAsia" w:ascii="仿宋" w:hAnsi="仿宋" w:eastAsia="仿宋" w:cs="仿宋"/>
          <w:sz w:val="32"/>
          <w:szCs w:val="32"/>
        </w:rPr>
        <w:t>资本性支出</w:t>
      </w:r>
      <w:r>
        <w:rPr>
          <w:rFonts w:ascii="仿宋" w:hAnsi="仿宋" w:eastAsia="仿宋" w:cs="仿宋"/>
          <w:sz w:val="32"/>
        </w:rPr>
        <w:t>0.00万元，</w:t>
      </w:r>
      <w:r>
        <w:rPr>
          <w:rFonts w:ascii="仿宋_GB2312" w:hAnsi="微软雅黑" w:eastAsia="仿宋_GB2312" w:cs="仿宋_GB2312"/>
          <w:sz w:val="31"/>
          <w:szCs w:val="31"/>
          <w:shd w:val="clear" w:color="auto" w:fill="FFFFFF"/>
        </w:rPr>
        <w:t>完成年初预算的</w:t>
      </w:r>
      <w:r>
        <w:rPr>
          <w:rFonts w:hint="eastAsia" w:ascii="仿宋" w:hAnsi="仿宋" w:eastAsia="仿宋" w:cs="仿宋"/>
          <w:sz w:val="32"/>
          <w:szCs w:val="32"/>
        </w:rPr>
        <w:t>0%</w:t>
      </w:r>
      <w:r>
        <w:rPr>
          <w:rFonts w:ascii="仿宋_GB2312" w:hAnsi="微软雅黑" w:eastAsia="仿宋_GB2312" w:cs="仿宋_GB2312"/>
          <w:sz w:val="31"/>
          <w:szCs w:val="31"/>
          <w:shd w:val="clear" w:color="auto" w:fill="FFFFFF"/>
        </w:rPr>
        <w:t>，</w:t>
      </w:r>
      <w:r>
        <w:rPr>
          <w:rFonts w:hint="eastAsia" w:ascii="仿宋" w:hAnsi="仿宋" w:eastAsia="仿宋" w:cs="仿宋"/>
          <w:sz w:val="32"/>
          <w:szCs w:val="32"/>
        </w:rPr>
        <w:t>（简要说明预决算差异）主要原因是：无资本性支出。</w:t>
      </w:r>
    </w:p>
    <w:p>
      <w:pPr>
        <w:jc w:val="left"/>
        <w:rPr>
          <w:rFonts w:hint="eastAsia" w:ascii="仿宋" w:hAnsi="仿宋" w:eastAsia="仿宋" w:cs="仿宋"/>
          <w:sz w:val="32"/>
          <w:szCs w:val="32"/>
        </w:rPr>
      </w:pPr>
      <w:r>
        <w:rPr>
          <w:rFonts w:hint="eastAsia" w:ascii="仿宋" w:hAnsi="仿宋" w:eastAsia="仿宋" w:cs="仿宋"/>
          <w:sz w:val="32"/>
          <w:szCs w:val="32"/>
        </w:rPr>
        <w:t>支出具体情况如下：</w:t>
      </w:r>
    </w:p>
    <w:p>
      <w:pPr>
        <w:ind w:left="420"/>
        <w:jc w:val="center"/>
        <w:rPr>
          <w:rFonts w:hint="eastAsia" w:ascii="仿宋" w:hAnsi="仿宋" w:eastAsia="仿宋" w:cs="仿宋"/>
          <w:sz w:val="32"/>
          <w:szCs w:val="32"/>
        </w:rPr>
      </w:pPr>
      <w:r>
        <w:rPr>
          <w:rFonts w:hint="eastAsia" w:ascii="仿宋" w:hAnsi="仿宋" w:eastAsia="仿宋" w:cs="仿宋"/>
          <w:sz w:val="32"/>
          <w:szCs w:val="32"/>
        </w:rPr>
        <w:drawing>
          <wp:inline distT="0" distB="0" distL="114300" distR="114300">
            <wp:extent cx="4474845" cy="3215640"/>
            <wp:effectExtent l="4445" t="4445" r="16510" b="18415"/>
            <wp:docPr id="2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ind w:left="420"/>
        <w:jc w:val="left"/>
        <w:rPr>
          <w:rFonts w:ascii="仿宋" w:hAnsi="仿宋" w:eastAsia="仿宋" w:cs="仿宋"/>
          <w:sz w:val="32"/>
          <w:szCs w:val="32"/>
        </w:rPr>
      </w:pPr>
    </w:p>
    <w:p>
      <w:pPr>
        <w:numPr>
          <w:ilvl w:val="0"/>
          <w:numId w:val="2"/>
        </w:numPr>
        <w:jc w:val="left"/>
        <w:rPr>
          <w:rFonts w:hint="eastAsia" w:ascii="仿宋" w:hAnsi="仿宋" w:eastAsia="仿宋" w:cs="仿宋"/>
          <w:sz w:val="32"/>
          <w:szCs w:val="32"/>
        </w:rPr>
      </w:pPr>
      <w:r>
        <w:rPr>
          <w:rFonts w:hint="eastAsia" w:ascii="仿宋" w:hAnsi="仿宋" w:eastAsia="仿宋" w:cs="仿宋"/>
          <w:sz w:val="32"/>
          <w:szCs w:val="32"/>
        </w:rPr>
        <w:t>其他支出</w:t>
      </w:r>
      <w:r>
        <w:rPr>
          <w:rFonts w:ascii="仿宋" w:hAnsi="仿宋" w:eastAsia="仿宋" w:cs="仿宋"/>
          <w:sz w:val="32"/>
        </w:rPr>
        <w:t>0.00万元，</w:t>
      </w:r>
      <w:r>
        <w:rPr>
          <w:rFonts w:ascii="仿宋_GB2312" w:hAnsi="微软雅黑" w:eastAsia="仿宋_GB2312" w:cs="仿宋_GB2312"/>
          <w:sz w:val="31"/>
          <w:szCs w:val="31"/>
          <w:shd w:val="clear" w:color="auto" w:fill="FFFFFF"/>
        </w:rPr>
        <w:t>完成年初预算的</w:t>
      </w:r>
      <w:r>
        <w:rPr>
          <w:rFonts w:hint="eastAsia" w:ascii="仿宋" w:hAnsi="仿宋" w:eastAsia="仿宋" w:cs="仿宋"/>
          <w:sz w:val="32"/>
          <w:szCs w:val="32"/>
        </w:rPr>
        <w:t>0%</w:t>
      </w:r>
      <w:r>
        <w:rPr>
          <w:rFonts w:ascii="仿宋_GB2312" w:hAnsi="微软雅黑" w:eastAsia="仿宋_GB2312" w:cs="仿宋_GB2312"/>
          <w:sz w:val="31"/>
          <w:szCs w:val="31"/>
          <w:shd w:val="clear" w:color="auto" w:fill="FFFFFF"/>
        </w:rPr>
        <w:t>，</w:t>
      </w:r>
      <w:r>
        <w:rPr>
          <w:rFonts w:hint="eastAsia" w:ascii="仿宋" w:hAnsi="仿宋" w:eastAsia="仿宋" w:cs="仿宋"/>
          <w:sz w:val="32"/>
          <w:szCs w:val="32"/>
        </w:rPr>
        <w:t>（简要说明预决算差异）主要原因是：无其他支出。</w:t>
      </w:r>
    </w:p>
    <w:p>
      <w:pPr>
        <w:jc w:val="left"/>
        <w:rPr>
          <w:rFonts w:hint="eastAsia" w:ascii="仿宋" w:hAnsi="仿宋" w:eastAsia="仿宋" w:cs="仿宋"/>
          <w:sz w:val="32"/>
          <w:szCs w:val="32"/>
        </w:rPr>
      </w:pPr>
      <w:r>
        <w:rPr>
          <w:rFonts w:hint="eastAsia" w:ascii="仿宋" w:hAnsi="仿宋" w:eastAsia="仿宋" w:cs="仿宋"/>
          <w:sz w:val="32"/>
          <w:szCs w:val="32"/>
        </w:rPr>
        <w:t>支出具体情况如下：</w:t>
      </w:r>
    </w:p>
    <w:p>
      <w:pPr>
        <w:jc w:val="center"/>
        <w:rPr>
          <w:rFonts w:hint="eastAsia" w:ascii="仿宋" w:hAnsi="仿宋" w:eastAsia="仿宋" w:cs="仿宋"/>
          <w:sz w:val="32"/>
          <w:szCs w:val="32"/>
        </w:rPr>
      </w:pPr>
      <w:r>
        <w:rPr>
          <w:rFonts w:hint="eastAsia" w:ascii="仿宋" w:hAnsi="仿宋" w:eastAsia="仿宋" w:cs="仿宋"/>
          <w:sz w:val="32"/>
          <w:szCs w:val="32"/>
        </w:rPr>
        <w:drawing>
          <wp:inline distT="0" distB="0" distL="114300" distR="114300">
            <wp:extent cx="4474845" cy="3215640"/>
            <wp:effectExtent l="4445" t="4445" r="16510" b="18415"/>
            <wp:docPr id="2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jc w:val="left"/>
        <w:rPr>
          <w:rFonts w:ascii="仿宋" w:hAnsi="仿宋" w:eastAsia="仿宋" w:cs="仿宋"/>
          <w:sz w:val="32"/>
          <w:szCs w:val="32"/>
        </w:rPr>
      </w:pPr>
    </w:p>
    <w:p>
      <w:pPr>
        <w:jc w:val="left"/>
        <w:rPr>
          <w:rFonts w:ascii="黑体" w:hAnsi="黑体" w:eastAsia="黑体" w:cs="黑体"/>
          <w:sz w:val="32"/>
          <w:szCs w:val="32"/>
        </w:rPr>
      </w:pPr>
      <w:r>
        <w:rPr>
          <w:rFonts w:hint="eastAsia" w:ascii="黑体" w:hAnsi="黑体" w:eastAsia="黑体" w:cs="黑体"/>
          <w:sz w:val="32"/>
          <w:szCs w:val="32"/>
        </w:rPr>
        <w:t>四、2023年度政府性基金支出决算情况</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环江毛南族自治县第二幼儿园2023年度政府性基金支出</w:t>
      </w:r>
      <w:r>
        <w:rPr>
          <w:rFonts w:ascii="仿宋" w:hAnsi="仿宋" w:eastAsia="仿宋" w:cs="仿宋"/>
          <w:sz w:val="32"/>
          <w:szCs w:val="32"/>
        </w:rPr>
        <w:t>0.00</w:t>
      </w:r>
      <w:r>
        <w:rPr>
          <w:rFonts w:hint="eastAsia" w:ascii="仿宋" w:hAnsi="仿宋" w:eastAsia="仿宋" w:cs="仿宋"/>
          <w:sz w:val="32"/>
          <w:szCs w:val="32"/>
        </w:rPr>
        <w:t>万元，较2022年度决算数</w:t>
      </w:r>
      <w:r>
        <w:rPr>
          <w:rFonts w:ascii="仿宋" w:hAnsi="仿宋" w:eastAsia="仿宋" w:cs="仿宋"/>
          <w:sz w:val="32"/>
          <w:szCs w:val="32"/>
        </w:rPr>
        <w:t>增加0.00</w:t>
      </w:r>
      <w:r>
        <w:rPr>
          <w:rFonts w:hint="eastAsia" w:ascii="仿宋" w:hAnsi="仿宋" w:eastAsia="仿宋" w:cs="仿宋"/>
          <w:sz w:val="32"/>
          <w:szCs w:val="32"/>
        </w:rPr>
        <w:t>万元，</w:t>
      </w:r>
      <w:r>
        <w:rPr>
          <w:rFonts w:ascii="仿宋" w:hAnsi="仿宋" w:eastAsia="仿宋" w:cs="仿宋"/>
          <w:sz w:val="32"/>
          <w:szCs w:val="32"/>
        </w:rPr>
        <w:t>增长0%</w:t>
      </w:r>
      <w:r>
        <w:rPr>
          <w:rFonts w:hint="eastAsia" w:ascii="仿宋" w:hAnsi="仿宋" w:eastAsia="仿宋" w:cs="仿宋"/>
          <w:sz w:val="32"/>
          <w:szCs w:val="32"/>
        </w:rPr>
        <w:t>其中：基本支出</w:t>
      </w:r>
      <w:r>
        <w:rPr>
          <w:rFonts w:ascii="仿宋" w:hAnsi="仿宋" w:eastAsia="仿宋" w:cs="仿宋"/>
          <w:sz w:val="32"/>
          <w:szCs w:val="32"/>
        </w:rPr>
        <w:t>0.00</w:t>
      </w:r>
      <w:r>
        <w:rPr>
          <w:rFonts w:hint="eastAsia" w:ascii="仿宋" w:hAnsi="仿宋" w:eastAsia="仿宋" w:cs="仿宋"/>
          <w:sz w:val="32"/>
          <w:szCs w:val="32"/>
        </w:rPr>
        <w:t>万元，项目支出</w:t>
      </w:r>
      <w:r>
        <w:rPr>
          <w:rFonts w:ascii="仿宋" w:hAnsi="仿宋" w:eastAsia="仿宋" w:cs="仿宋"/>
          <w:sz w:val="32"/>
          <w:szCs w:val="32"/>
        </w:rPr>
        <w:t>0.00</w:t>
      </w:r>
      <w:r>
        <w:rPr>
          <w:rFonts w:hint="eastAsia" w:ascii="仿宋" w:hAnsi="仿宋" w:eastAsia="仿宋" w:cs="仿宋"/>
          <w:sz w:val="32"/>
          <w:szCs w:val="32"/>
        </w:rPr>
        <w:t>万元。</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环江毛南族自治县第二幼儿园2023年度政府性基金支出年初预算为</w:t>
      </w:r>
      <w:r>
        <w:rPr>
          <w:rFonts w:ascii="仿宋" w:hAnsi="仿宋" w:eastAsia="仿宋" w:cs="仿宋"/>
          <w:sz w:val="32"/>
          <w:szCs w:val="32"/>
        </w:rPr>
        <w:t>0.00</w:t>
      </w:r>
      <w:r>
        <w:rPr>
          <w:rFonts w:hint="eastAsia" w:ascii="仿宋" w:hAnsi="仿宋" w:eastAsia="仿宋" w:cs="仿宋"/>
          <w:sz w:val="32"/>
          <w:szCs w:val="32"/>
        </w:rPr>
        <w:t>万元，支出决算为</w:t>
      </w:r>
      <w:r>
        <w:rPr>
          <w:rFonts w:ascii="仿宋" w:hAnsi="仿宋" w:eastAsia="仿宋" w:cs="仿宋"/>
          <w:sz w:val="32"/>
          <w:szCs w:val="32"/>
        </w:rPr>
        <w:t>0.00</w:t>
      </w:r>
      <w:r>
        <w:rPr>
          <w:rFonts w:hint="eastAsia" w:ascii="仿宋" w:hAnsi="仿宋" w:eastAsia="仿宋" w:cs="仿宋"/>
          <w:sz w:val="32"/>
          <w:szCs w:val="32"/>
        </w:rPr>
        <w:t>万元，完成年初预算的</w:t>
      </w:r>
      <w:r>
        <w:rPr>
          <w:rFonts w:ascii="仿宋" w:hAnsi="仿宋" w:eastAsia="仿宋" w:cs="仿宋"/>
          <w:sz w:val="32"/>
          <w:szCs w:val="32"/>
        </w:rPr>
        <w:t>0%</w:t>
      </w:r>
      <w:r>
        <w:rPr>
          <w:rFonts w:hint="eastAsia" w:ascii="仿宋" w:hAnsi="仿宋" w:eastAsia="仿宋" w:cs="仿宋"/>
          <w:sz w:val="32"/>
          <w:szCs w:val="32"/>
        </w:rPr>
        <w:t>。</w:t>
      </w:r>
    </w:p>
    <w:p>
      <w:pPr>
        <w:ind w:firstLine="640" w:firstLineChars="200"/>
        <w:jc w:val="left"/>
        <w:rPr>
          <w:rFonts w:ascii="仿宋" w:hAnsi="仿宋" w:eastAsia="仿宋" w:cs="仿宋"/>
          <w:sz w:val="32"/>
          <w:szCs w:val="32"/>
        </w:rPr>
      </w:pPr>
      <w:r>
        <w:rPr>
          <w:rFonts w:hint="eastAsia" w:ascii="仿宋_GB2312" w:hAnsi="Times New Roman" w:eastAsia="仿宋_GB2312" w:cs="Times New Roman"/>
          <w:sz w:val="32"/>
          <w:szCs w:val="32"/>
        </w:rPr>
        <w:t>环江毛南族自治县第二幼儿园</w:t>
      </w:r>
      <w:r>
        <w:rPr>
          <w:rFonts w:ascii="仿宋_GB2312" w:hAnsi="仿宋_GB2312" w:eastAsia="仿宋_GB2312" w:cs="仿宋_GB2312"/>
          <w:sz w:val="32"/>
        </w:rPr>
        <w:t>没有政府性基金收入，也没有政府性基金收入安排的支出</w:t>
      </w:r>
      <w:r>
        <w:rPr>
          <w:rFonts w:hint="eastAsia" w:ascii="仿宋_GB2312" w:hAnsi="Times New Roman" w:eastAsia="仿宋_GB2312" w:cs="Times New Roman"/>
          <w:sz w:val="32"/>
          <w:szCs w:val="32"/>
        </w:rPr>
        <w:t>。故本段落无表述。</w:t>
      </w:r>
    </w:p>
    <w:p>
      <w:pPr>
        <w:jc w:val="left"/>
        <w:rPr>
          <w:rFonts w:ascii="仿宋" w:hAnsi="仿宋" w:eastAsia="仿宋" w:cs="仿宋"/>
          <w:sz w:val="32"/>
          <w:szCs w:val="32"/>
        </w:rPr>
      </w:pPr>
      <w:r>
        <w:rPr>
          <w:rFonts w:hint="eastAsia" w:ascii="黑体" w:hAnsi="黑体" w:eastAsia="黑体" w:cs="黑体"/>
          <w:sz w:val="32"/>
          <w:szCs w:val="32"/>
        </w:rPr>
        <w:t>五、2023年度国有资本经营预算支出决算情况</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环江毛南族自治县第二幼儿园2023年度国有资本经营预算支出</w:t>
      </w:r>
      <w:r>
        <w:rPr>
          <w:rFonts w:ascii="仿宋" w:hAnsi="仿宋" w:eastAsia="仿宋" w:cs="仿宋"/>
          <w:sz w:val="32"/>
          <w:szCs w:val="32"/>
        </w:rPr>
        <w:t>0.00</w:t>
      </w:r>
      <w:r>
        <w:rPr>
          <w:rFonts w:hint="eastAsia" w:ascii="仿宋" w:hAnsi="仿宋" w:eastAsia="仿宋" w:cs="仿宋"/>
          <w:sz w:val="32"/>
          <w:szCs w:val="32"/>
        </w:rPr>
        <w:t>万元。其中：基本支出</w:t>
      </w:r>
      <w:r>
        <w:rPr>
          <w:rFonts w:ascii="仿宋" w:hAnsi="仿宋" w:eastAsia="仿宋" w:cs="仿宋"/>
          <w:sz w:val="32"/>
          <w:szCs w:val="32"/>
        </w:rPr>
        <w:t>0.00</w:t>
      </w:r>
      <w:r>
        <w:rPr>
          <w:rFonts w:hint="eastAsia" w:ascii="仿宋" w:hAnsi="仿宋" w:eastAsia="仿宋" w:cs="仿宋"/>
          <w:sz w:val="32"/>
          <w:szCs w:val="32"/>
        </w:rPr>
        <w:t>万元，项目支出</w:t>
      </w:r>
      <w:r>
        <w:rPr>
          <w:rFonts w:ascii="仿宋" w:hAnsi="仿宋" w:eastAsia="仿宋" w:cs="仿宋"/>
          <w:sz w:val="32"/>
          <w:szCs w:val="32"/>
        </w:rPr>
        <w:t>0.00</w:t>
      </w:r>
      <w:r>
        <w:rPr>
          <w:rFonts w:hint="eastAsia" w:ascii="仿宋" w:hAnsi="仿宋" w:eastAsia="仿宋" w:cs="仿宋"/>
          <w:sz w:val="32"/>
          <w:szCs w:val="32"/>
        </w:rPr>
        <w:t>万元。</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环江毛南族自治县第二幼儿园2022 年度国有资本经营预算支出年初预算为</w:t>
      </w:r>
      <w:r>
        <w:rPr>
          <w:rFonts w:ascii="仿宋" w:hAnsi="仿宋" w:eastAsia="仿宋" w:cs="仿宋"/>
          <w:sz w:val="32"/>
          <w:szCs w:val="32"/>
        </w:rPr>
        <w:t>0.00</w:t>
      </w:r>
      <w:r>
        <w:rPr>
          <w:rFonts w:hint="eastAsia" w:ascii="仿宋" w:hAnsi="仿宋" w:eastAsia="仿宋" w:cs="仿宋"/>
          <w:sz w:val="32"/>
          <w:szCs w:val="32"/>
        </w:rPr>
        <w:t>万元，支出决算为</w:t>
      </w:r>
      <w:r>
        <w:rPr>
          <w:rFonts w:ascii="仿宋" w:hAnsi="仿宋" w:eastAsia="仿宋" w:cs="仿宋"/>
          <w:sz w:val="32"/>
          <w:szCs w:val="32"/>
        </w:rPr>
        <w:t>0.00</w:t>
      </w:r>
      <w:r>
        <w:rPr>
          <w:rFonts w:hint="eastAsia" w:ascii="仿宋" w:hAnsi="仿宋" w:eastAsia="仿宋" w:cs="仿宋"/>
          <w:sz w:val="32"/>
          <w:szCs w:val="32"/>
        </w:rPr>
        <w:t>万元，完成年初预算的</w:t>
      </w:r>
      <w:r>
        <w:rPr>
          <w:rFonts w:ascii="仿宋" w:hAnsi="仿宋" w:eastAsia="仿宋" w:cs="仿宋"/>
          <w:sz w:val="32"/>
          <w:szCs w:val="32"/>
        </w:rPr>
        <w:t>0%</w:t>
      </w:r>
      <w:r>
        <w:rPr>
          <w:rFonts w:hint="eastAsia" w:ascii="仿宋" w:hAnsi="仿宋" w:eastAsia="仿宋" w:cs="仿宋"/>
          <w:sz w:val="32"/>
          <w:szCs w:val="32"/>
        </w:rPr>
        <w:t>。</w:t>
      </w:r>
    </w:p>
    <w:p>
      <w:pPr>
        <w:ind w:firstLine="640" w:firstLineChars="200"/>
        <w:jc w:val="left"/>
        <w:rPr>
          <w:rFonts w:ascii="仿宋" w:hAnsi="仿宋" w:eastAsia="仿宋" w:cs="仿宋"/>
          <w:sz w:val="32"/>
          <w:szCs w:val="32"/>
        </w:rPr>
      </w:pPr>
      <w:bookmarkStart w:id="2" w:name="PO_part3A5B1C1DiffReason1"/>
      <w:r>
        <w:rPr>
          <w:rFonts w:hint="eastAsia" w:ascii="仿宋_GB2312" w:hAnsi="Times New Roman" w:eastAsia="仿宋_GB2312" w:cs="Times New Roman"/>
          <w:sz w:val="32"/>
          <w:szCs w:val="32"/>
        </w:rPr>
        <w:t>环江毛南族自治县第二幼儿园</w:t>
      </w:r>
      <w:r>
        <w:rPr>
          <w:rFonts w:ascii="仿宋_GB2312" w:hAnsi="仿宋_GB2312" w:eastAsia="仿宋_GB2312" w:cs="仿宋_GB2312"/>
          <w:sz w:val="32"/>
        </w:rPr>
        <w:t>没有国有资本经营预算收入，也没有国有资本经营预算收入和</w:t>
      </w:r>
      <w:r>
        <w:rPr>
          <w:rFonts w:hint="eastAsia" w:ascii="仿宋_GB2312" w:hAnsi="Times New Roman" w:eastAsia="仿宋_GB2312" w:cs="Times New Roman"/>
          <w:sz w:val="32"/>
          <w:szCs w:val="32"/>
        </w:rPr>
        <w:t>安排的支出。</w:t>
      </w:r>
      <w:bookmarkEnd w:id="2"/>
    </w:p>
    <w:p>
      <w:pPr>
        <w:jc w:val="left"/>
        <w:rPr>
          <w:rFonts w:ascii="仿宋" w:hAnsi="仿宋" w:eastAsia="仿宋" w:cs="仿宋"/>
          <w:sz w:val="32"/>
          <w:szCs w:val="32"/>
        </w:rPr>
      </w:pPr>
      <w:r>
        <w:rPr>
          <w:rFonts w:hint="eastAsia" w:ascii="黑体" w:hAnsi="黑体" w:eastAsia="黑体" w:cs="黑体"/>
          <w:sz w:val="32"/>
          <w:szCs w:val="32"/>
        </w:rPr>
        <w:t>六、财政拨款“三公”经费支出决算情况说明</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2023年预算财政拨款安排的“三公”经费支出</w:t>
      </w:r>
      <w:r>
        <w:rPr>
          <w:rFonts w:ascii="仿宋" w:hAnsi="仿宋" w:eastAsia="仿宋" w:cs="仿宋"/>
          <w:sz w:val="32"/>
          <w:szCs w:val="32"/>
        </w:rPr>
        <w:t>0.00</w:t>
      </w:r>
      <w:r>
        <w:rPr>
          <w:rFonts w:hint="eastAsia" w:ascii="仿宋" w:hAnsi="仿宋" w:eastAsia="仿宋" w:cs="仿宋"/>
          <w:sz w:val="32"/>
          <w:szCs w:val="32"/>
        </w:rPr>
        <w:t>万元，完成年初预算的</w:t>
      </w:r>
      <w:r>
        <w:rPr>
          <w:rFonts w:ascii="仿宋" w:hAnsi="仿宋" w:eastAsia="仿宋" w:cs="仿宋"/>
          <w:sz w:val="32"/>
          <w:szCs w:val="32"/>
        </w:rPr>
        <w:t>0%</w:t>
      </w:r>
      <w:r>
        <w:rPr>
          <w:rFonts w:hint="eastAsia" w:ascii="仿宋" w:hAnsi="仿宋" w:eastAsia="仿宋" w:cs="仿宋"/>
          <w:sz w:val="32"/>
          <w:szCs w:val="32"/>
        </w:rPr>
        <w:t>，比上年</w:t>
      </w:r>
      <w:r>
        <w:rPr>
          <w:rFonts w:ascii="仿宋" w:hAnsi="仿宋" w:eastAsia="仿宋" w:cs="仿宋"/>
          <w:sz w:val="32"/>
          <w:szCs w:val="32"/>
        </w:rPr>
        <w:t>增加0.00</w:t>
      </w:r>
      <w:r>
        <w:rPr>
          <w:rFonts w:hint="eastAsia" w:ascii="仿宋" w:hAnsi="仿宋" w:eastAsia="仿宋" w:cs="仿宋"/>
          <w:sz w:val="32"/>
          <w:szCs w:val="32"/>
        </w:rPr>
        <w:t>万元，主要原因是：无财政拨款安排的“三公”经费支出。其中：因公出国（境）费支出决算</w:t>
      </w:r>
      <w:r>
        <w:rPr>
          <w:rFonts w:ascii="仿宋" w:hAnsi="仿宋" w:eastAsia="仿宋" w:cs="仿宋"/>
          <w:sz w:val="32"/>
          <w:szCs w:val="32"/>
        </w:rPr>
        <w:t>0.00</w:t>
      </w:r>
      <w:r>
        <w:rPr>
          <w:rFonts w:hint="eastAsia" w:ascii="仿宋" w:hAnsi="仿宋" w:eastAsia="仿宋" w:cs="仿宋"/>
          <w:sz w:val="32"/>
          <w:szCs w:val="32"/>
        </w:rPr>
        <w:t>万元，公务用车购置及运行费支出决算</w:t>
      </w:r>
      <w:r>
        <w:rPr>
          <w:rFonts w:ascii="仿宋" w:hAnsi="仿宋" w:eastAsia="仿宋" w:cs="仿宋"/>
          <w:sz w:val="32"/>
          <w:szCs w:val="32"/>
        </w:rPr>
        <w:t>0.00</w:t>
      </w:r>
      <w:r>
        <w:rPr>
          <w:rFonts w:hint="eastAsia" w:ascii="仿宋" w:hAnsi="仿宋" w:eastAsia="仿宋" w:cs="仿宋"/>
          <w:sz w:val="32"/>
          <w:szCs w:val="32"/>
        </w:rPr>
        <w:t>万元，公务接待费支出决算</w:t>
      </w:r>
      <w:r>
        <w:rPr>
          <w:rFonts w:ascii="仿宋" w:hAnsi="仿宋" w:eastAsia="仿宋" w:cs="仿宋"/>
          <w:sz w:val="32"/>
          <w:szCs w:val="32"/>
        </w:rPr>
        <w:t>0.00</w:t>
      </w:r>
      <w:r>
        <w:rPr>
          <w:rFonts w:hint="eastAsia" w:ascii="仿宋" w:hAnsi="仿宋" w:eastAsia="仿宋" w:cs="仿宋"/>
          <w:sz w:val="32"/>
          <w:szCs w:val="32"/>
        </w:rPr>
        <w:t>万元。</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具体情况如下：</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（一）因公出国（境）费支出</w:t>
      </w:r>
      <w:r>
        <w:rPr>
          <w:rFonts w:ascii="仿宋" w:hAnsi="仿宋" w:eastAsia="仿宋" w:cs="仿宋"/>
          <w:sz w:val="32"/>
          <w:szCs w:val="32"/>
        </w:rPr>
        <w:t>0.00</w:t>
      </w:r>
      <w:r>
        <w:rPr>
          <w:rFonts w:hint="eastAsia" w:ascii="仿宋" w:hAnsi="仿宋" w:eastAsia="仿宋" w:cs="仿宋"/>
          <w:sz w:val="32"/>
          <w:szCs w:val="32"/>
        </w:rPr>
        <w:t>万元，完成年初预算的</w:t>
      </w:r>
      <w:r>
        <w:rPr>
          <w:rFonts w:ascii="仿宋" w:hAnsi="仿宋" w:eastAsia="仿宋" w:cs="仿宋"/>
          <w:sz w:val="32"/>
          <w:szCs w:val="32"/>
        </w:rPr>
        <w:t>0%</w:t>
      </w:r>
      <w:r>
        <w:rPr>
          <w:rFonts w:hint="eastAsia" w:ascii="仿宋" w:hAnsi="仿宋" w:eastAsia="仿宋" w:cs="仿宋"/>
          <w:sz w:val="32"/>
          <w:szCs w:val="32"/>
        </w:rPr>
        <w:t>，比上年</w:t>
      </w:r>
      <w:r>
        <w:rPr>
          <w:rFonts w:ascii="仿宋" w:hAnsi="仿宋" w:eastAsia="仿宋" w:cs="仿宋"/>
          <w:sz w:val="32"/>
          <w:szCs w:val="32"/>
        </w:rPr>
        <w:t>增加0.00</w:t>
      </w:r>
      <w:r>
        <w:rPr>
          <w:rFonts w:hint="eastAsia" w:ascii="仿宋" w:hAnsi="仿宋" w:eastAsia="仿宋" w:cs="仿宋"/>
          <w:sz w:val="32"/>
          <w:szCs w:val="32"/>
        </w:rPr>
        <w:t xml:space="preserve"> 万元。原因是：本单位</w:t>
      </w:r>
      <w:r>
        <w:rPr>
          <w:rFonts w:hint="eastAsia" w:ascii="仿宋_GB2312" w:hAnsi="Times New Roman" w:eastAsia="仿宋_GB2312" w:cs="Times New Roman"/>
          <w:sz w:val="32"/>
          <w:szCs w:val="32"/>
        </w:rPr>
        <w:t>无因公出国（境）费支出。</w:t>
      </w:r>
      <w:r>
        <w:rPr>
          <w:rFonts w:hint="eastAsia" w:ascii="仿宋" w:hAnsi="仿宋" w:eastAsia="仿宋" w:cs="仿宋"/>
          <w:sz w:val="32"/>
          <w:szCs w:val="32"/>
        </w:rPr>
        <w:t>全年因公出国（境）团组共计</w:t>
      </w:r>
      <w:r>
        <w:rPr>
          <w:rFonts w:ascii="仿宋" w:hAnsi="仿宋" w:eastAsia="仿宋" w:cs="仿宋"/>
          <w:sz w:val="32"/>
          <w:szCs w:val="32"/>
        </w:rPr>
        <w:t>0</w:t>
      </w:r>
      <w:r>
        <w:rPr>
          <w:rFonts w:hint="eastAsia" w:ascii="仿宋" w:hAnsi="仿宋" w:eastAsia="仿宋" w:cs="仿宋"/>
          <w:sz w:val="32"/>
          <w:szCs w:val="32"/>
        </w:rPr>
        <w:t>个，累计</w:t>
      </w:r>
      <w:r>
        <w:rPr>
          <w:rFonts w:ascii="仿宋" w:hAnsi="仿宋" w:eastAsia="仿宋" w:cs="仿宋"/>
          <w:sz w:val="32"/>
          <w:szCs w:val="32"/>
        </w:rPr>
        <w:t>0</w:t>
      </w:r>
      <w:r>
        <w:rPr>
          <w:rFonts w:hint="eastAsia" w:ascii="仿宋" w:hAnsi="仿宋" w:eastAsia="仿宋" w:cs="仿宋"/>
          <w:sz w:val="32"/>
          <w:szCs w:val="32"/>
        </w:rPr>
        <w:t>人次。</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（二）公务用车购置及运行维护费</w:t>
      </w:r>
      <w:r>
        <w:rPr>
          <w:rFonts w:ascii="仿宋" w:hAnsi="仿宋" w:eastAsia="仿宋" w:cs="仿宋"/>
          <w:sz w:val="32"/>
        </w:rPr>
        <w:t>0.00</w:t>
      </w:r>
      <w:r>
        <w:rPr>
          <w:rFonts w:hint="eastAsia" w:ascii="仿宋" w:hAnsi="仿宋" w:eastAsia="仿宋" w:cs="仿宋"/>
          <w:sz w:val="32"/>
          <w:szCs w:val="32"/>
        </w:rPr>
        <w:t>万元。其中：公务用车购置支出</w:t>
      </w:r>
      <w:r>
        <w:rPr>
          <w:rFonts w:ascii="仿宋" w:hAnsi="仿宋" w:eastAsia="仿宋" w:cs="仿宋"/>
          <w:sz w:val="32"/>
        </w:rPr>
        <w:t>0.00</w:t>
      </w:r>
      <w:r>
        <w:rPr>
          <w:rFonts w:hint="eastAsia" w:ascii="仿宋" w:hAnsi="仿宋" w:eastAsia="仿宋" w:cs="仿宋"/>
          <w:sz w:val="32"/>
          <w:szCs w:val="32"/>
        </w:rPr>
        <w:t>万元，完成年初预算的</w:t>
      </w:r>
      <w:r>
        <w:rPr>
          <w:rFonts w:ascii="仿宋" w:hAnsi="仿宋" w:eastAsia="仿宋" w:cs="仿宋"/>
          <w:sz w:val="32"/>
        </w:rPr>
        <w:t>0%</w:t>
      </w:r>
      <w:r>
        <w:rPr>
          <w:rFonts w:hint="eastAsia" w:ascii="仿宋" w:hAnsi="仿宋" w:eastAsia="仿宋" w:cs="仿宋"/>
          <w:sz w:val="32"/>
          <w:szCs w:val="32"/>
        </w:rPr>
        <w:t>，比上年</w:t>
      </w:r>
      <w:r>
        <w:rPr>
          <w:rFonts w:ascii="仿宋" w:hAnsi="仿宋" w:eastAsia="仿宋" w:cs="仿宋"/>
          <w:sz w:val="32"/>
        </w:rPr>
        <w:t>增加0.00</w:t>
      </w:r>
      <w:r>
        <w:rPr>
          <w:rFonts w:hint="eastAsia" w:ascii="仿宋" w:hAnsi="仿宋" w:eastAsia="仿宋" w:cs="仿宋"/>
          <w:sz w:val="32"/>
          <w:szCs w:val="32"/>
        </w:rPr>
        <w:t xml:space="preserve"> 万元。主要原因是</w:t>
      </w:r>
      <w:bookmarkStart w:id="3" w:name="PO_part3A6B2IncReason1"/>
      <w:r>
        <w:rPr>
          <w:rFonts w:hint="eastAsia" w:ascii="仿宋" w:hAnsi="仿宋" w:eastAsia="仿宋" w:cs="仿宋"/>
          <w:sz w:val="32"/>
          <w:szCs w:val="32"/>
        </w:rPr>
        <w:t>本部门无公务用车购置</w:t>
      </w:r>
      <w:bookmarkEnd w:id="3"/>
      <w:r>
        <w:rPr>
          <w:rFonts w:hint="eastAsia" w:ascii="仿宋" w:hAnsi="仿宋" w:eastAsia="仿宋" w:cs="仿宋"/>
          <w:sz w:val="32"/>
          <w:szCs w:val="32"/>
        </w:rPr>
        <w:t>。</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公务用车运行维护支出</w:t>
      </w:r>
      <w:r>
        <w:rPr>
          <w:rFonts w:ascii="仿宋" w:hAnsi="仿宋" w:eastAsia="仿宋" w:cs="仿宋"/>
          <w:sz w:val="32"/>
        </w:rPr>
        <w:t>0.00</w:t>
      </w:r>
      <w:r>
        <w:rPr>
          <w:rFonts w:hint="eastAsia" w:ascii="仿宋" w:hAnsi="仿宋" w:eastAsia="仿宋" w:cs="仿宋"/>
          <w:sz w:val="32"/>
          <w:szCs w:val="32"/>
        </w:rPr>
        <w:t>万元，完成年初预算的</w:t>
      </w:r>
      <w:r>
        <w:rPr>
          <w:rFonts w:ascii="仿宋" w:hAnsi="仿宋" w:eastAsia="仿宋" w:cs="仿宋"/>
          <w:sz w:val="32"/>
        </w:rPr>
        <w:t>0%</w:t>
      </w:r>
      <w:r>
        <w:rPr>
          <w:rFonts w:hint="eastAsia" w:ascii="仿宋" w:hAnsi="仿宋" w:eastAsia="仿宋" w:cs="仿宋"/>
          <w:sz w:val="32"/>
          <w:szCs w:val="32"/>
        </w:rPr>
        <w:t>，比上年</w:t>
      </w:r>
      <w:r>
        <w:rPr>
          <w:rFonts w:ascii="仿宋" w:hAnsi="仿宋" w:eastAsia="仿宋" w:cs="仿宋"/>
          <w:sz w:val="32"/>
        </w:rPr>
        <w:t>增加0.00</w:t>
      </w:r>
      <w:r>
        <w:rPr>
          <w:rFonts w:hint="eastAsia" w:ascii="仿宋" w:hAnsi="仿宋" w:eastAsia="仿宋" w:cs="仿宋"/>
          <w:sz w:val="32"/>
          <w:szCs w:val="32"/>
        </w:rPr>
        <w:t>万元。主要原因是：本部门无公务用车。2023年，</w:t>
      </w:r>
      <w:r>
        <w:rPr>
          <w:rFonts w:ascii="仿宋" w:hAnsi="仿宋" w:eastAsia="仿宋" w:cs="仿宋"/>
          <w:sz w:val="32"/>
        </w:rPr>
        <w:t>环江毛南族自治县第二幼儿园</w:t>
      </w:r>
      <w:r>
        <w:rPr>
          <w:rFonts w:hint="eastAsia" w:ascii="仿宋" w:hAnsi="仿宋" w:eastAsia="仿宋" w:cs="仿宋"/>
          <w:sz w:val="32"/>
          <w:szCs w:val="32"/>
        </w:rPr>
        <w:t>开支财政拨款的公务用车保有量为</w:t>
      </w:r>
      <w:r>
        <w:rPr>
          <w:rFonts w:ascii="仿宋" w:hAnsi="仿宋" w:eastAsia="仿宋" w:cs="仿宋"/>
          <w:sz w:val="32"/>
        </w:rPr>
        <w:t>0</w:t>
      </w:r>
      <w:r>
        <w:rPr>
          <w:rFonts w:hint="eastAsia" w:ascii="仿宋" w:hAnsi="仿宋" w:eastAsia="仿宋" w:cs="仿宋"/>
          <w:sz w:val="32"/>
          <w:szCs w:val="32"/>
        </w:rPr>
        <w:t>辆，全年运行费支出</w:t>
      </w:r>
      <w:r>
        <w:rPr>
          <w:rFonts w:ascii="仿宋" w:hAnsi="仿宋" w:eastAsia="仿宋" w:cs="仿宋"/>
          <w:sz w:val="32"/>
        </w:rPr>
        <w:t>0.00</w:t>
      </w:r>
      <w:r>
        <w:rPr>
          <w:rFonts w:hint="eastAsia" w:ascii="仿宋" w:hAnsi="仿宋" w:eastAsia="仿宋" w:cs="仿宋"/>
          <w:sz w:val="32"/>
          <w:szCs w:val="32"/>
        </w:rPr>
        <w:t>万元，平均每辆0万元。</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（三）公务接待费支出</w:t>
      </w:r>
      <w:r>
        <w:rPr>
          <w:rFonts w:ascii="仿宋" w:hAnsi="仿宋" w:eastAsia="仿宋" w:cs="仿宋"/>
          <w:sz w:val="32"/>
          <w:szCs w:val="32"/>
        </w:rPr>
        <w:t>0.00</w:t>
      </w:r>
      <w:r>
        <w:rPr>
          <w:rFonts w:hint="eastAsia" w:ascii="仿宋" w:hAnsi="仿宋" w:eastAsia="仿宋" w:cs="仿宋"/>
          <w:sz w:val="32"/>
          <w:szCs w:val="32"/>
        </w:rPr>
        <w:t>万元，完成年初预算的</w:t>
      </w:r>
      <w:r>
        <w:rPr>
          <w:rFonts w:ascii="仿宋" w:hAnsi="仿宋" w:eastAsia="仿宋" w:cs="仿宋"/>
          <w:sz w:val="32"/>
          <w:szCs w:val="32"/>
        </w:rPr>
        <w:t>0%</w:t>
      </w:r>
      <w:r>
        <w:rPr>
          <w:rFonts w:hint="eastAsia" w:ascii="仿宋" w:hAnsi="仿宋" w:eastAsia="仿宋" w:cs="仿宋"/>
          <w:sz w:val="32"/>
          <w:szCs w:val="32"/>
        </w:rPr>
        <w:t>， 比上年</w:t>
      </w:r>
      <w:r>
        <w:rPr>
          <w:rFonts w:ascii="仿宋" w:hAnsi="仿宋" w:eastAsia="仿宋" w:cs="仿宋"/>
          <w:sz w:val="32"/>
          <w:szCs w:val="32"/>
        </w:rPr>
        <w:t>增加0.00</w:t>
      </w:r>
      <w:r>
        <w:rPr>
          <w:rFonts w:hint="eastAsia" w:ascii="仿宋" w:hAnsi="仿宋" w:eastAsia="仿宋" w:cs="仿宋"/>
          <w:sz w:val="32"/>
          <w:szCs w:val="32"/>
        </w:rPr>
        <w:t>万元，主要原因是：本单位无公务接待。国内公务接待批次</w:t>
      </w:r>
      <w:r>
        <w:rPr>
          <w:rFonts w:ascii="仿宋" w:hAnsi="仿宋" w:eastAsia="仿宋" w:cs="仿宋"/>
          <w:sz w:val="32"/>
          <w:szCs w:val="32"/>
        </w:rPr>
        <w:t>0</w:t>
      </w:r>
      <w:r>
        <w:rPr>
          <w:rFonts w:hint="eastAsia" w:ascii="仿宋" w:hAnsi="仿宋" w:eastAsia="仿宋" w:cs="仿宋"/>
          <w:sz w:val="32"/>
          <w:szCs w:val="32"/>
        </w:rPr>
        <w:t>次，人次</w:t>
      </w:r>
      <w:r>
        <w:rPr>
          <w:rFonts w:ascii="仿宋" w:hAnsi="仿宋" w:eastAsia="仿宋" w:cs="仿宋"/>
          <w:sz w:val="32"/>
          <w:szCs w:val="32"/>
        </w:rPr>
        <w:t>0</w:t>
      </w:r>
      <w:r>
        <w:rPr>
          <w:rFonts w:hint="eastAsia" w:ascii="仿宋" w:hAnsi="仿宋" w:eastAsia="仿宋" w:cs="仿宋"/>
          <w:sz w:val="32"/>
          <w:szCs w:val="32"/>
        </w:rPr>
        <w:t>次，国（境）外公务接待批次</w:t>
      </w:r>
      <w:r>
        <w:rPr>
          <w:rFonts w:ascii="仿宋" w:hAnsi="仿宋" w:eastAsia="仿宋" w:cs="仿宋"/>
          <w:sz w:val="32"/>
          <w:szCs w:val="32"/>
        </w:rPr>
        <w:t>0</w:t>
      </w:r>
      <w:r>
        <w:rPr>
          <w:rFonts w:hint="eastAsia" w:ascii="仿宋" w:hAnsi="仿宋" w:eastAsia="仿宋" w:cs="仿宋"/>
          <w:sz w:val="32"/>
          <w:szCs w:val="32"/>
        </w:rPr>
        <w:t>次，人次</w:t>
      </w:r>
      <w:r>
        <w:rPr>
          <w:rFonts w:ascii="仿宋" w:hAnsi="仿宋" w:eastAsia="仿宋" w:cs="仿宋"/>
          <w:sz w:val="32"/>
          <w:szCs w:val="32"/>
        </w:rPr>
        <w:t>0</w:t>
      </w:r>
      <w:r>
        <w:rPr>
          <w:rFonts w:hint="eastAsia" w:ascii="仿宋" w:hAnsi="仿宋" w:eastAsia="仿宋" w:cs="仿宋"/>
          <w:sz w:val="32"/>
          <w:szCs w:val="32"/>
        </w:rPr>
        <w:t>次。</w:t>
      </w:r>
    </w:p>
    <w:p>
      <w:pPr>
        <w:jc w:val="left"/>
        <w:rPr>
          <w:rFonts w:ascii="仿宋" w:hAnsi="仿宋" w:eastAsia="仿宋" w:cs="仿宋"/>
          <w:sz w:val="32"/>
          <w:szCs w:val="32"/>
        </w:rPr>
      </w:pPr>
      <w:r>
        <w:rPr>
          <w:rFonts w:hint="eastAsia" w:ascii="黑体" w:hAnsi="黑体" w:eastAsia="黑体" w:cs="黑体"/>
          <w:sz w:val="32"/>
          <w:szCs w:val="32"/>
        </w:rPr>
        <w:t>七、其他重要事项情况说明</w:t>
      </w:r>
    </w:p>
    <w:p>
      <w:pPr>
        <w:jc w:val="left"/>
        <w:rPr>
          <w:rFonts w:ascii="黑体" w:hAnsi="黑体" w:eastAsia="黑体" w:cs="黑体"/>
          <w:sz w:val="32"/>
          <w:szCs w:val="32"/>
        </w:rPr>
      </w:pPr>
      <w:r>
        <w:rPr>
          <w:rFonts w:hint="eastAsia" w:ascii="黑体" w:hAnsi="黑体" w:eastAsia="黑体" w:cs="黑体"/>
          <w:sz w:val="32"/>
          <w:szCs w:val="32"/>
        </w:rPr>
        <w:t>（一） 机关运行经费支出情况说明</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本部门2023年度机关运行经费支出</w:t>
      </w:r>
      <w:r>
        <w:rPr>
          <w:rFonts w:ascii="仿宋" w:hAnsi="仿宋" w:eastAsia="仿宋" w:cs="仿宋"/>
          <w:sz w:val="32"/>
          <w:szCs w:val="32"/>
        </w:rPr>
        <w:t>0.00</w:t>
      </w:r>
      <w:r>
        <w:rPr>
          <w:rFonts w:hint="eastAsia" w:ascii="仿宋" w:hAnsi="仿宋" w:eastAsia="仿宋" w:cs="仿宋"/>
          <w:sz w:val="32"/>
          <w:szCs w:val="32"/>
        </w:rPr>
        <w:t>万元，比年初预算数</w:t>
      </w:r>
      <w:r>
        <w:rPr>
          <w:rFonts w:ascii="仿宋" w:hAnsi="仿宋" w:eastAsia="仿宋" w:cs="仿宋"/>
          <w:sz w:val="32"/>
          <w:szCs w:val="32"/>
        </w:rPr>
        <w:t>减少</w:t>
      </w:r>
      <w:r>
        <w:rPr>
          <w:rFonts w:hint="eastAsia" w:ascii="仿宋" w:hAnsi="仿宋" w:eastAsia="仿宋" w:cs="仿宋"/>
          <w:sz w:val="32"/>
          <w:szCs w:val="32"/>
        </w:rPr>
        <w:t>0.00万元，</w:t>
      </w:r>
      <w:r>
        <w:rPr>
          <w:rFonts w:ascii="仿宋" w:hAnsi="仿宋" w:eastAsia="仿宋" w:cs="仿宋"/>
          <w:sz w:val="32"/>
          <w:szCs w:val="32"/>
        </w:rPr>
        <w:t>下降</w:t>
      </w:r>
      <w:r>
        <w:rPr>
          <w:rFonts w:hint="eastAsia" w:ascii="仿宋" w:hAnsi="仿宋" w:eastAsia="仿宋" w:cs="仿宋"/>
          <w:sz w:val="32"/>
          <w:szCs w:val="32"/>
        </w:rPr>
        <w:t>0.00</w:t>
      </w:r>
      <w:r>
        <w:rPr>
          <w:rFonts w:ascii="仿宋" w:hAnsi="仿宋" w:eastAsia="仿宋" w:cs="仿宋"/>
          <w:sz w:val="32"/>
          <w:szCs w:val="32"/>
        </w:rPr>
        <w:t>%</w:t>
      </w:r>
      <w:r>
        <w:rPr>
          <w:rFonts w:hint="eastAsia" w:ascii="仿宋" w:hAnsi="仿宋" w:eastAsia="仿宋" w:cs="仿宋"/>
          <w:sz w:val="32"/>
          <w:szCs w:val="32"/>
        </w:rPr>
        <w:t>，比上年决算数</w:t>
      </w:r>
      <w:r>
        <w:rPr>
          <w:rFonts w:ascii="仿宋" w:hAnsi="仿宋" w:eastAsia="仿宋" w:cs="仿宋"/>
          <w:sz w:val="32"/>
          <w:szCs w:val="32"/>
        </w:rPr>
        <w:t>增加0.00</w:t>
      </w:r>
      <w:r>
        <w:rPr>
          <w:rFonts w:hint="eastAsia" w:ascii="仿宋" w:hAnsi="仿宋" w:eastAsia="仿宋" w:cs="仿宋"/>
          <w:sz w:val="32"/>
          <w:szCs w:val="32"/>
        </w:rPr>
        <w:t>万元，</w:t>
      </w:r>
      <w:r>
        <w:rPr>
          <w:rFonts w:ascii="仿宋" w:hAnsi="仿宋" w:eastAsia="仿宋" w:cs="仿宋"/>
          <w:sz w:val="32"/>
          <w:szCs w:val="32"/>
        </w:rPr>
        <w:t>增长0%</w:t>
      </w:r>
      <w:r>
        <w:rPr>
          <w:rFonts w:hint="eastAsia" w:ascii="仿宋" w:hAnsi="仿宋" w:eastAsia="仿宋" w:cs="仿宋"/>
          <w:sz w:val="32"/>
          <w:szCs w:val="32"/>
        </w:rPr>
        <w:t>。原因是：本部门2023年度无机关运行经费支出。</w:t>
      </w:r>
    </w:p>
    <w:p>
      <w:pPr>
        <w:jc w:val="left"/>
        <w:rPr>
          <w:rFonts w:ascii="黑体" w:hAnsi="黑体" w:eastAsia="黑体" w:cs="黑体"/>
          <w:sz w:val="32"/>
          <w:szCs w:val="32"/>
        </w:rPr>
      </w:pPr>
      <w:r>
        <w:rPr>
          <w:rFonts w:hint="eastAsia" w:ascii="黑体" w:hAnsi="黑体" w:eastAsia="黑体" w:cs="黑体"/>
          <w:sz w:val="32"/>
          <w:szCs w:val="32"/>
        </w:rPr>
        <w:t>（二）政府采购支出情况说明</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本部门2023年度政府采购支出总额</w:t>
      </w:r>
      <w:r>
        <w:rPr>
          <w:rFonts w:ascii="仿宋" w:hAnsi="仿宋" w:eastAsia="仿宋" w:cs="仿宋"/>
          <w:sz w:val="32"/>
          <w:szCs w:val="32"/>
        </w:rPr>
        <w:t>0.00</w:t>
      </w:r>
      <w:r>
        <w:rPr>
          <w:rFonts w:hint="eastAsia" w:ascii="仿宋" w:hAnsi="仿宋" w:eastAsia="仿宋" w:cs="仿宋"/>
          <w:sz w:val="32"/>
          <w:szCs w:val="32"/>
        </w:rPr>
        <w:t>万元，其中：政府采购货物支出</w:t>
      </w:r>
      <w:r>
        <w:rPr>
          <w:rFonts w:ascii="仿宋" w:hAnsi="仿宋" w:eastAsia="仿宋" w:cs="仿宋"/>
          <w:sz w:val="32"/>
          <w:szCs w:val="32"/>
        </w:rPr>
        <w:t>0.00</w:t>
      </w:r>
      <w:r>
        <w:rPr>
          <w:rFonts w:hint="eastAsia" w:ascii="仿宋" w:hAnsi="仿宋" w:eastAsia="仿宋" w:cs="仿宋"/>
          <w:sz w:val="32"/>
          <w:szCs w:val="32"/>
        </w:rPr>
        <w:t>万元、政府采购工程支出</w:t>
      </w:r>
      <w:r>
        <w:rPr>
          <w:rFonts w:ascii="仿宋" w:hAnsi="仿宋" w:eastAsia="仿宋" w:cs="仿宋"/>
          <w:sz w:val="32"/>
          <w:szCs w:val="32"/>
        </w:rPr>
        <w:t>0.00</w:t>
      </w:r>
      <w:r>
        <w:rPr>
          <w:rFonts w:hint="eastAsia" w:ascii="仿宋" w:hAnsi="仿宋" w:eastAsia="仿宋" w:cs="仿宋"/>
          <w:sz w:val="32"/>
          <w:szCs w:val="32"/>
        </w:rPr>
        <w:t>万元、政府采购服务支出</w:t>
      </w:r>
      <w:r>
        <w:rPr>
          <w:rFonts w:ascii="仿宋" w:hAnsi="仿宋" w:eastAsia="仿宋" w:cs="仿宋"/>
          <w:sz w:val="32"/>
          <w:szCs w:val="32"/>
        </w:rPr>
        <w:t>0.00</w:t>
      </w:r>
      <w:r>
        <w:rPr>
          <w:rFonts w:hint="eastAsia" w:ascii="仿宋" w:hAnsi="仿宋" w:eastAsia="仿宋" w:cs="仿宋"/>
          <w:sz w:val="32"/>
          <w:szCs w:val="32"/>
        </w:rPr>
        <w:t>万元。授予中小企业合同金额</w:t>
      </w:r>
      <w:r>
        <w:rPr>
          <w:rFonts w:ascii="仿宋" w:hAnsi="仿宋" w:eastAsia="仿宋" w:cs="仿宋"/>
          <w:sz w:val="32"/>
          <w:szCs w:val="32"/>
        </w:rPr>
        <w:t>0.00</w:t>
      </w:r>
      <w:r>
        <w:rPr>
          <w:rFonts w:hint="eastAsia" w:ascii="仿宋" w:hAnsi="仿宋" w:eastAsia="仿宋" w:cs="仿宋"/>
          <w:sz w:val="32"/>
          <w:szCs w:val="32"/>
        </w:rPr>
        <w:t>万元，占政府采购支出总额的</w:t>
      </w:r>
      <w:r>
        <w:rPr>
          <w:rFonts w:ascii="仿宋" w:hAnsi="仿宋" w:eastAsia="仿宋" w:cs="仿宋"/>
          <w:sz w:val="32"/>
          <w:szCs w:val="32"/>
        </w:rPr>
        <w:t>0%</w:t>
      </w:r>
      <w:r>
        <w:rPr>
          <w:rFonts w:hint="eastAsia" w:ascii="仿宋" w:hAnsi="仿宋" w:eastAsia="仿宋" w:cs="仿宋"/>
          <w:sz w:val="32"/>
          <w:szCs w:val="32"/>
        </w:rPr>
        <w:t>，其中：授予小微企业合同金额</w:t>
      </w:r>
      <w:r>
        <w:rPr>
          <w:rFonts w:ascii="仿宋" w:hAnsi="仿宋" w:eastAsia="仿宋" w:cs="仿宋"/>
          <w:sz w:val="32"/>
          <w:szCs w:val="32"/>
        </w:rPr>
        <w:t>0.00</w:t>
      </w:r>
      <w:r>
        <w:rPr>
          <w:rFonts w:hint="eastAsia" w:ascii="仿宋" w:hAnsi="仿宋" w:eastAsia="仿宋" w:cs="仿宋"/>
          <w:sz w:val="32"/>
          <w:szCs w:val="32"/>
        </w:rPr>
        <w:t>万元，占授予中小企业合同金额的</w:t>
      </w:r>
      <w:r>
        <w:rPr>
          <w:rFonts w:ascii="仿宋" w:hAnsi="仿宋" w:eastAsia="仿宋" w:cs="仿宋"/>
          <w:sz w:val="32"/>
          <w:szCs w:val="32"/>
        </w:rPr>
        <w:t>0%</w:t>
      </w:r>
      <w:r>
        <w:rPr>
          <w:rFonts w:hint="eastAsia" w:ascii="仿宋" w:hAnsi="仿宋" w:eastAsia="仿宋" w:cs="仿宋"/>
          <w:sz w:val="32"/>
          <w:szCs w:val="32"/>
        </w:rPr>
        <w:t>。</w:t>
      </w:r>
    </w:p>
    <w:p>
      <w:pPr>
        <w:jc w:val="left"/>
        <w:rPr>
          <w:rFonts w:ascii="仿宋" w:hAnsi="仿宋" w:eastAsia="仿宋" w:cs="仿宋"/>
          <w:sz w:val="32"/>
          <w:szCs w:val="32"/>
        </w:rPr>
      </w:pPr>
      <w:r>
        <w:rPr>
          <w:rFonts w:hint="eastAsia" w:ascii="黑体" w:hAnsi="黑体" w:eastAsia="黑体" w:cs="黑体"/>
          <w:sz w:val="32"/>
          <w:szCs w:val="32"/>
        </w:rPr>
        <w:t>（三）国有资产占用情况说明</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截至2023年12月31日，本部门共有车辆</w:t>
      </w:r>
      <w:r>
        <w:rPr>
          <w:rFonts w:ascii="仿宋" w:hAnsi="仿宋" w:eastAsia="仿宋" w:cs="仿宋"/>
          <w:sz w:val="32"/>
          <w:szCs w:val="32"/>
        </w:rPr>
        <w:t>0</w:t>
      </w:r>
      <w:r>
        <w:rPr>
          <w:rFonts w:hint="eastAsia" w:ascii="仿宋" w:hAnsi="仿宋" w:eastAsia="仿宋" w:cs="仿宋"/>
          <w:sz w:val="32"/>
          <w:szCs w:val="32"/>
        </w:rPr>
        <w:t>辆，其中：副部（省）级领导干部用车</w:t>
      </w:r>
      <w:r>
        <w:rPr>
          <w:rFonts w:ascii="仿宋" w:hAnsi="仿宋" w:eastAsia="仿宋" w:cs="仿宋"/>
          <w:sz w:val="32"/>
          <w:szCs w:val="32"/>
        </w:rPr>
        <w:t>0</w:t>
      </w:r>
      <w:r>
        <w:rPr>
          <w:rFonts w:hint="eastAsia" w:ascii="仿宋" w:hAnsi="仿宋" w:eastAsia="仿宋" w:cs="仿宋"/>
          <w:sz w:val="32"/>
          <w:szCs w:val="32"/>
        </w:rPr>
        <w:t>辆、机要通信用车</w:t>
      </w:r>
      <w:r>
        <w:rPr>
          <w:rFonts w:ascii="仿宋" w:hAnsi="仿宋" w:eastAsia="仿宋" w:cs="仿宋"/>
          <w:sz w:val="32"/>
          <w:szCs w:val="32"/>
        </w:rPr>
        <w:t>0</w:t>
      </w:r>
      <w:r>
        <w:rPr>
          <w:rFonts w:hint="eastAsia" w:ascii="仿宋" w:hAnsi="仿宋" w:eastAsia="仿宋" w:cs="仿宋"/>
          <w:sz w:val="32"/>
          <w:szCs w:val="32"/>
        </w:rPr>
        <w:t>辆、应急保障用车</w:t>
      </w:r>
      <w:r>
        <w:rPr>
          <w:rFonts w:ascii="仿宋" w:hAnsi="仿宋" w:eastAsia="仿宋" w:cs="仿宋"/>
          <w:sz w:val="32"/>
          <w:szCs w:val="32"/>
        </w:rPr>
        <w:t>0</w:t>
      </w:r>
      <w:r>
        <w:rPr>
          <w:rFonts w:hint="eastAsia" w:ascii="仿宋" w:hAnsi="仿宋" w:eastAsia="仿宋" w:cs="仿宋"/>
          <w:sz w:val="32"/>
          <w:szCs w:val="32"/>
        </w:rPr>
        <w:t>辆、执法执勤用车</w:t>
      </w:r>
      <w:r>
        <w:rPr>
          <w:rFonts w:ascii="仿宋" w:hAnsi="仿宋" w:eastAsia="仿宋" w:cs="仿宋"/>
          <w:sz w:val="32"/>
          <w:szCs w:val="32"/>
        </w:rPr>
        <w:t>0</w:t>
      </w:r>
      <w:r>
        <w:rPr>
          <w:rFonts w:hint="eastAsia" w:ascii="仿宋" w:hAnsi="仿宋" w:eastAsia="仿宋" w:cs="仿宋"/>
          <w:sz w:val="32"/>
          <w:szCs w:val="32"/>
        </w:rPr>
        <w:t>辆、特种专业技术用车</w:t>
      </w:r>
      <w:r>
        <w:rPr>
          <w:rFonts w:ascii="仿宋" w:hAnsi="仿宋" w:eastAsia="仿宋" w:cs="仿宋"/>
          <w:sz w:val="32"/>
          <w:szCs w:val="32"/>
        </w:rPr>
        <w:t>0</w:t>
      </w:r>
      <w:r>
        <w:rPr>
          <w:rFonts w:hint="eastAsia" w:ascii="仿宋" w:hAnsi="仿宋" w:eastAsia="仿宋" w:cs="仿宋"/>
          <w:sz w:val="32"/>
          <w:szCs w:val="32"/>
        </w:rPr>
        <w:t>辆、其他用车</w:t>
      </w:r>
      <w:r>
        <w:rPr>
          <w:rFonts w:ascii="仿宋" w:hAnsi="仿宋" w:eastAsia="仿宋" w:cs="仿宋"/>
          <w:sz w:val="32"/>
          <w:szCs w:val="32"/>
        </w:rPr>
        <w:t>0</w:t>
      </w:r>
      <w:r>
        <w:rPr>
          <w:rFonts w:hint="eastAsia" w:ascii="仿宋" w:hAnsi="仿宋" w:eastAsia="仿宋" w:cs="仿宋"/>
          <w:sz w:val="32"/>
          <w:szCs w:val="32"/>
        </w:rPr>
        <w:t>辆；单位价值50万元以上通用设备</w:t>
      </w:r>
      <w:r>
        <w:rPr>
          <w:rFonts w:ascii="仿宋" w:hAnsi="仿宋" w:eastAsia="仿宋" w:cs="仿宋"/>
          <w:sz w:val="32"/>
          <w:szCs w:val="32"/>
        </w:rPr>
        <w:t>0</w:t>
      </w:r>
      <w:r>
        <w:rPr>
          <w:rFonts w:hint="eastAsia" w:ascii="仿宋" w:hAnsi="仿宋" w:eastAsia="仿宋" w:cs="仿宋"/>
          <w:sz w:val="32"/>
          <w:szCs w:val="32"/>
        </w:rPr>
        <w:t>台（套）；单位价值100万元以上专用设备台（套）。</w:t>
      </w:r>
    </w:p>
    <w:p>
      <w:pPr>
        <w:jc w:val="left"/>
        <w:rPr>
          <w:rFonts w:ascii="仿宋" w:hAnsi="仿宋" w:eastAsia="仿宋" w:cs="仿宋"/>
          <w:sz w:val="32"/>
          <w:szCs w:val="32"/>
        </w:rPr>
      </w:pPr>
      <w:r>
        <w:rPr>
          <w:rFonts w:hint="eastAsia" w:ascii="黑体" w:hAnsi="黑体" w:eastAsia="黑体" w:cs="黑体"/>
          <w:sz w:val="32"/>
          <w:szCs w:val="32"/>
        </w:rPr>
        <w:t>（四）预算绩效管理工作开展情况</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1.绩效管理工作开展情况。</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根据财政预算管理要求，本部门组织对2023年度一般公共预算项目支出全面开展绩效自评。2023年度一般公共预算项目总共16个,其中一等项目16个，二等项目0个，共涉及资金266.90万元，占一般公共预算项目支出总额的130.78%。组织对2023年度等0个政府性基金预算项目支出开展绩效自评，共涉及资金0万元，占政府性基金预算项目支出总额的0%。组织对2023年度等0个国有资本经营预算项目支出开展绩效自评，共涉及资金0万元，占国有资本经营预算项目支出总额的0%。</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组织对“教师节经费”等</w:t>
      </w:r>
      <w:r>
        <w:rPr>
          <w:rFonts w:ascii="仿宋" w:hAnsi="仿宋" w:eastAsia="仿宋" w:cs="仿宋"/>
          <w:sz w:val="32"/>
          <w:szCs w:val="32"/>
        </w:rPr>
        <w:t>1</w:t>
      </w:r>
      <w:r>
        <w:rPr>
          <w:rFonts w:hint="eastAsia" w:ascii="仿宋" w:hAnsi="仿宋" w:eastAsia="仿宋" w:cs="仿宋"/>
          <w:sz w:val="32"/>
          <w:szCs w:val="32"/>
        </w:rPr>
        <w:t>6个项目进行了部门评价，涉及一般公共预算支出266.9万元，政府性基金预算支出</w:t>
      </w:r>
      <w:r>
        <w:rPr>
          <w:rFonts w:ascii="仿宋" w:hAnsi="仿宋" w:eastAsia="仿宋" w:cs="仿宋"/>
          <w:sz w:val="32"/>
          <w:szCs w:val="32"/>
        </w:rPr>
        <w:t>0</w:t>
      </w:r>
      <w:r>
        <w:rPr>
          <w:rFonts w:hint="eastAsia" w:ascii="仿宋" w:hAnsi="仿宋" w:eastAsia="仿宋" w:cs="仿宋"/>
          <w:sz w:val="32"/>
          <w:szCs w:val="32"/>
        </w:rPr>
        <w:t>万元，国有资本经营预算支出</w:t>
      </w:r>
      <w:r>
        <w:rPr>
          <w:rFonts w:ascii="仿宋" w:hAnsi="仿宋" w:eastAsia="仿宋" w:cs="仿宋"/>
          <w:sz w:val="32"/>
          <w:szCs w:val="32"/>
        </w:rPr>
        <w:t>0</w:t>
      </w:r>
      <w:r>
        <w:rPr>
          <w:rFonts w:hint="eastAsia" w:ascii="仿宋" w:hAnsi="仿宋" w:eastAsia="仿宋" w:cs="仿宋"/>
          <w:sz w:val="32"/>
          <w:szCs w:val="32"/>
        </w:rPr>
        <w:t>万元。从评价情况来看，本部门推进预算支出绩效评价管理,提高资金使用效率。按时完成各个项目年度绩效目标，提高服务对象的满意度。</w:t>
      </w:r>
    </w:p>
    <w:p>
      <w:pPr>
        <w:jc w:val="left"/>
        <w:rPr>
          <w:rFonts w:ascii="仿宋" w:hAnsi="仿宋" w:eastAsia="仿宋" w:cs="仿宋"/>
          <w:sz w:val="32"/>
          <w:szCs w:val="32"/>
        </w:rPr>
      </w:pPr>
      <w:r>
        <w:rPr>
          <w:rFonts w:hint="eastAsia" w:ascii="仿宋" w:hAnsi="仿宋" w:eastAsia="仿宋" w:cs="仿宋"/>
          <w:sz w:val="32"/>
          <w:szCs w:val="32"/>
        </w:rPr>
        <w:t>从评价情况来看，我单位绩效管理情况较为理想，达到了年初设定的各项绩效目标。</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组织对本单位开展整体支出绩效评价试点，涉及一般公共预算项目支出266.90万元，政府性基金预算支出0万元。从评价情况来看，我部门绩效管理情况较为理想，达到了年初设定的各项绩效目标。所有资金使用严格按审批程序办理、操作规范，会计核算结果真实、准确，各项支出严格按照各项制度执行。</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2.部门决算中项目绩效自评结果</w:t>
      </w:r>
      <w:bookmarkStart w:id="5" w:name="_GoBack"/>
      <w:bookmarkEnd w:id="5"/>
      <w:r>
        <w:rPr>
          <w:rFonts w:hint="eastAsia" w:ascii="仿宋" w:hAnsi="仿宋" w:eastAsia="仿宋" w:cs="仿宋"/>
          <w:sz w:val="32"/>
          <w:szCs w:val="32"/>
        </w:rPr>
        <w:t>。</w:t>
      </w:r>
    </w:p>
    <w:p>
      <w:pPr>
        <w:jc w:val="left"/>
        <w:rPr>
          <w:rFonts w:ascii="仿宋" w:hAnsi="仿宋" w:eastAsia="仿宋" w:cs="仿宋"/>
          <w:sz w:val="32"/>
          <w:szCs w:val="32"/>
        </w:rPr>
      </w:pPr>
      <w:r>
        <w:rPr>
          <w:rFonts w:hint="eastAsia" w:ascii="仿宋" w:hAnsi="仿宋" w:eastAsia="仿宋" w:cs="仿宋"/>
          <w:sz w:val="32"/>
          <w:szCs w:val="32"/>
        </w:rPr>
        <w:t>我部门根据年初设定的绩效目标，</w:t>
      </w:r>
      <w:bookmarkStart w:id="4" w:name="_Hlk151217930"/>
      <w:r>
        <w:rPr>
          <w:rFonts w:hint="eastAsia" w:ascii="仿宋" w:hAnsi="仿宋" w:eastAsia="仿宋" w:cs="仿宋"/>
          <w:sz w:val="32"/>
          <w:szCs w:val="32"/>
        </w:rPr>
        <w:t>教师节经费、奖励性补贴、学前教育免除保教育费自治区补助资金、班主任津贴、全县校长绩效工资、学前教育免保教费县本级补助资金、普惠性民办幼儿园奖补中央补助资金、奖励性补贴（非三保）、普惠幼儿园奖补自治区级奖补资金这九个项目都能按时完成支付，自评得分均为100分。学前教育免除保教费中央补助资金项目自评得分为</w:t>
      </w:r>
      <w:r>
        <w:rPr>
          <w:rFonts w:ascii="仿宋" w:hAnsi="仿宋" w:eastAsia="仿宋" w:cs="仿宋"/>
          <w:sz w:val="32"/>
          <w:szCs w:val="32"/>
        </w:rPr>
        <w:t>9</w:t>
      </w:r>
      <w:r>
        <w:rPr>
          <w:rFonts w:hint="eastAsia" w:ascii="仿宋" w:hAnsi="仿宋" w:eastAsia="仿宋" w:cs="仿宋"/>
          <w:sz w:val="32"/>
          <w:szCs w:val="32"/>
        </w:rPr>
        <w:t>9.83分。发现的主要问题及原因：辖区内普惠性民办幼儿园未能及时整理报账材料。下一步改进措施：一是督促民办幼儿园及时整理报账材料；二是加快资金进度安排。学前教育质量提升资金项目自评得分为96.65分。发现的主要问题及原因：部分报账材料未能及时整理。下一步改进措施：及时整理报账材料，完成年度资金进度安排。党建工作经费项目自评得分为</w:t>
      </w:r>
      <w:r>
        <w:rPr>
          <w:rFonts w:ascii="仿宋" w:hAnsi="仿宋" w:eastAsia="仿宋" w:cs="仿宋"/>
          <w:sz w:val="32"/>
          <w:szCs w:val="32"/>
        </w:rPr>
        <w:t>9</w:t>
      </w:r>
      <w:r>
        <w:rPr>
          <w:rFonts w:hint="eastAsia" w:ascii="仿宋" w:hAnsi="仿宋" w:eastAsia="仿宋" w:cs="仿宋"/>
          <w:sz w:val="32"/>
          <w:szCs w:val="32"/>
        </w:rPr>
        <w:t>0分，发现的主要问题及原因：党支部刚成立不久，开展相关活动比较晚，未能及时整理报账材料。下一步改进措施：及时整理报账材料，完成年度资金进度安排，二是加快资金进度安排。学前生均公用经费项目自评得分为</w:t>
      </w:r>
      <w:r>
        <w:rPr>
          <w:rFonts w:ascii="仿宋" w:hAnsi="仿宋" w:eastAsia="仿宋" w:cs="仿宋"/>
          <w:sz w:val="32"/>
          <w:szCs w:val="32"/>
        </w:rPr>
        <w:t>9</w:t>
      </w:r>
      <w:r>
        <w:rPr>
          <w:rFonts w:hint="eastAsia" w:ascii="仿宋" w:hAnsi="仿宋" w:eastAsia="仿宋" w:cs="仿宋"/>
          <w:sz w:val="32"/>
          <w:szCs w:val="32"/>
        </w:rPr>
        <w:t>4.77分。发现的主要问题及原因：部分报账材料未能及时整理。下一步改进措施：及时整理报账材料，完成年度资金进度安排，二是加快资金进度安排。环江县第二幼儿园年初预算经费项目自评得分为98.02。发现的主要问题及原因：部分报账材料未能及时整理。下一步改进措施：及时整理报账材料，完成年度资金进度安排。普惠性幼儿园奖补县本级奖助资金项目自评得分为90分，发现的主要问题及原因：辖区内普惠性民办幼儿园未能及时整理报账材料。下一步改进措施：一是督促民办幼儿园及时整理报账材料；二是加快资金进度安排。环江县第二幼儿园2022年年初预算经费(保育教育费)项目自评得分为99.72。发现的主要问题及原因：部分报账材料未能及时整理。下一步改进措施：及时整理报账材料，完成年度资金进度安排。</w:t>
      </w:r>
      <w:bookmarkEnd w:id="4"/>
    </w:p>
    <w:p>
      <w:pPr>
        <w:jc w:val="center"/>
        <w:rPr>
          <w:rFonts w:ascii="黑体" w:hAnsi="黑体" w:eastAsia="黑体" w:cs="黑体"/>
          <w:sz w:val="32"/>
          <w:szCs w:val="32"/>
        </w:rPr>
      </w:pPr>
      <w:r>
        <w:rPr>
          <w:rFonts w:hint="eastAsia" w:ascii="黑体" w:hAnsi="黑体" w:eastAsia="黑体" w:cs="黑体"/>
          <w:sz w:val="32"/>
          <w:szCs w:val="32"/>
        </w:rPr>
        <w:t>第四部分  名词解释</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一、财政拨款收入：指</w:t>
      </w:r>
      <w:r>
        <w:rPr>
          <w:rFonts w:ascii="仿宋" w:hAnsi="仿宋" w:eastAsia="仿宋" w:cs="仿宋"/>
          <w:sz w:val="32"/>
        </w:rPr>
        <w:t>环江毛南族自治县财政部门当年拨付的资金。</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二、事业收入：指事业单位开展专业业务活动及辅助活动所取得的收入。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四、其他收入：指除上述“财政拨款收入”“事业收入”“经营收入”等以外的收入。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五、使用非财政拨款结余(含专用结余):指事业单位在当年的“财政拨款收入”“事业收入”“经营收入”“其他收入”不足以安排当年支出的情况下，使用非财政拨款结余、专用结余弥补本年度收支缺口的资金。 </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六、年初结转和结余：指以前年度尚未完成、结转到本年 按有关规定继续使用的资金。</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九、基本支出：指为保障机构正常运转、完成日常工作任务而发生的人员支出和公用支出。 </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十、项目支出：指在基本支出之外为完成特定行政任务和事业发展目标所发生的支出。 </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十二、“三公”经费：纳入</w:t>
      </w:r>
      <w:r>
        <w:rPr>
          <w:rFonts w:ascii="仿宋" w:hAnsi="仿宋" w:eastAsia="仿宋" w:cs="仿宋"/>
          <w:sz w:val="32"/>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418" w:bottom="1440" w:left="1418" w:header="851" w:footer="992" w:gutter="0"/>
      <w:cols w:space="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FiOTZkYjkwN2Q1MTBhY2U1NDI3ZmEwNzcyMDM4OGMifQ=="/>
  </w:docVars>
  <w:rsids>
    <w:rsidRoot w:val="637D7558"/>
    <w:rsid w:val="00002C84"/>
    <w:rsid w:val="000215CB"/>
    <w:rsid w:val="00022149"/>
    <w:rsid w:val="00030AB3"/>
    <w:rsid w:val="00047F6C"/>
    <w:rsid w:val="00076722"/>
    <w:rsid w:val="00093C26"/>
    <w:rsid w:val="00094B91"/>
    <w:rsid w:val="00095722"/>
    <w:rsid w:val="000A135D"/>
    <w:rsid w:val="000B06D8"/>
    <w:rsid w:val="000D1958"/>
    <w:rsid w:val="000E3D1C"/>
    <w:rsid w:val="000E5855"/>
    <w:rsid w:val="000F465F"/>
    <w:rsid w:val="00105933"/>
    <w:rsid w:val="001418A5"/>
    <w:rsid w:val="0014233D"/>
    <w:rsid w:val="00146888"/>
    <w:rsid w:val="00146DEE"/>
    <w:rsid w:val="00147D40"/>
    <w:rsid w:val="00156EF2"/>
    <w:rsid w:val="0018314C"/>
    <w:rsid w:val="001909DC"/>
    <w:rsid w:val="00190D2D"/>
    <w:rsid w:val="0019279E"/>
    <w:rsid w:val="001B7D88"/>
    <w:rsid w:val="001D7B97"/>
    <w:rsid w:val="00210E20"/>
    <w:rsid w:val="002235C1"/>
    <w:rsid w:val="00223F38"/>
    <w:rsid w:val="00233613"/>
    <w:rsid w:val="00253597"/>
    <w:rsid w:val="00254DBE"/>
    <w:rsid w:val="00255BDE"/>
    <w:rsid w:val="00265464"/>
    <w:rsid w:val="002717CD"/>
    <w:rsid w:val="0027200D"/>
    <w:rsid w:val="00275CAB"/>
    <w:rsid w:val="0028709C"/>
    <w:rsid w:val="0029328F"/>
    <w:rsid w:val="002B0097"/>
    <w:rsid w:val="002B2731"/>
    <w:rsid w:val="002D767E"/>
    <w:rsid w:val="002F1822"/>
    <w:rsid w:val="00317203"/>
    <w:rsid w:val="00335F91"/>
    <w:rsid w:val="00382867"/>
    <w:rsid w:val="003A4973"/>
    <w:rsid w:val="003C1C96"/>
    <w:rsid w:val="003C69F8"/>
    <w:rsid w:val="003E40BA"/>
    <w:rsid w:val="003E7165"/>
    <w:rsid w:val="0041579D"/>
    <w:rsid w:val="00417C52"/>
    <w:rsid w:val="00427074"/>
    <w:rsid w:val="00434D04"/>
    <w:rsid w:val="00453B69"/>
    <w:rsid w:val="004825A6"/>
    <w:rsid w:val="004C4D73"/>
    <w:rsid w:val="004D7D0E"/>
    <w:rsid w:val="004E5B42"/>
    <w:rsid w:val="005053D3"/>
    <w:rsid w:val="00516D4E"/>
    <w:rsid w:val="005234F5"/>
    <w:rsid w:val="00531745"/>
    <w:rsid w:val="00544FEF"/>
    <w:rsid w:val="00574196"/>
    <w:rsid w:val="00595AA4"/>
    <w:rsid w:val="005B212D"/>
    <w:rsid w:val="005B2552"/>
    <w:rsid w:val="005C34CD"/>
    <w:rsid w:val="005D509D"/>
    <w:rsid w:val="005F46D9"/>
    <w:rsid w:val="005F778E"/>
    <w:rsid w:val="00603C1F"/>
    <w:rsid w:val="006123AD"/>
    <w:rsid w:val="006148F3"/>
    <w:rsid w:val="006218DA"/>
    <w:rsid w:val="00623EB4"/>
    <w:rsid w:val="00634E83"/>
    <w:rsid w:val="00645B83"/>
    <w:rsid w:val="006555EC"/>
    <w:rsid w:val="0066173C"/>
    <w:rsid w:val="006868DF"/>
    <w:rsid w:val="0069493C"/>
    <w:rsid w:val="006972BA"/>
    <w:rsid w:val="006C030D"/>
    <w:rsid w:val="006C03CC"/>
    <w:rsid w:val="006D677A"/>
    <w:rsid w:val="006F0A3A"/>
    <w:rsid w:val="006F1F8A"/>
    <w:rsid w:val="006F2850"/>
    <w:rsid w:val="00707C70"/>
    <w:rsid w:val="00722C60"/>
    <w:rsid w:val="00746089"/>
    <w:rsid w:val="007640BB"/>
    <w:rsid w:val="00764CD2"/>
    <w:rsid w:val="00771953"/>
    <w:rsid w:val="00776E0B"/>
    <w:rsid w:val="007826C6"/>
    <w:rsid w:val="007A0641"/>
    <w:rsid w:val="007B326F"/>
    <w:rsid w:val="007B360B"/>
    <w:rsid w:val="007C12BE"/>
    <w:rsid w:val="007C52E7"/>
    <w:rsid w:val="007C54EA"/>
    <w:rsid w:val="007C5E05"/>
    <w:rsid w:val="007C776D"/>
    <w:rsid w:val="007C7EE5"/>
    <w:rsid w:val="007D7CE3"/>
    <w:rsid w:val="007E2F6C"/>
    <w:rsid w:val="007E4AD4"/>
    <w:rsid w:val="00817C69"/>
    <w:rsid w:val="00823A94"/>
    <w:rsid w:val="00824151"/>
    <w:rsid w:val="008315A9"/>
    <w:rsid w:val="008328DC"/>
    <w:rsid w:val="00834354"/>
    <w:rsid w:val="00834F70"/>
    <w:rsid w:val="00857E1F"/>
    <w:rsid w:val="008C1530"/>
    <w:rsid w:val="008C73ED"/>
    <w:rsid w:val="008F1B95"/>
    <w:rsid w:val="008F4AE2"/>
    <w:rsid w:val="008F6882"/>
    <w:rsid w:val="00916349"/>
    <w:rsid w:val="00926DDF"/>
    <w:rsid w:val="00934C72"/>
    <w:rsid w:val="00946CCF"/>
    <w:rsid w:val="0097721B"/>
    <w:rsid w:val="009831F8"/>
    <w:rsid w:val="009B3E00"/>
    <w:rsid w:val="009D1667"/>
    <w:rsid w:val="009D6589"/>
    <w:rsid w:val="009F7C5A"/>
    <w:rsid w:val="00A07CCE"/>
    <w:rsid w:val="00A1185B"/>
    <w:rsid w:val="00A11F99"/>
    <w:rsid w:val="00A14DC9"/>
    <w:rsid w:val="00A27624"/>
    <w:rsid w:val="00A354CF"/>
    <w:rsid w:val="00A358E6"/>
    <w:rsid w:val="00A850E8"/>
    <w:rsid w:val="00A85B26"/>
    <w:rsid w:val="00A924D1"/>
    <w:rsid w:val="00AA78EE"/>
    <w:rsid w:val="00AA7E40"/>
    <w:rsid w:val="00AB53E1"/>
    <w:rsid w:val="00AB5FCD"/>
    <w:rsid w:val="00AC40BB"/>
    <w:rsid w:val="00AC5E3C"/>
    <w:rsid w:val="00AD51BB"/>
    <w:rsid w:val="00AE2867"/>
    <w:rsid w:val="00AE3F4D"/>
    <w:rsid w:val="00AE5F66"/>
    <w:rsid w:val="00B07A0B"/>
    <w:rsid w:val="00B22F28"/>
    <w:rsid w:val="00B3646D"/>
    <w:rsid w:val="00B37453"/>
    <w:rsid w:val="00B37EFE"/>
    <w:rsid w:val="00B450B5"/>
    <w:rsid w:val="00B45479"/>
    <w:rsid w:val="00B462BE"/>
    <w:rsid w:val="00B60171"/>
    <w:rsid w:val="00B64E7B"/>
    <w:rsid w:val="00B743C3"/>
    <w:rsid w:val="00B763E9"/>
    <w:rsid w:val="00B837AC"/>
    <w:rsid w:val="00BA22DF"/>
    <w:rsid w:val="00BA5669"/>
    <w:rsid w:val="00BB4FB8"/>
    <w:rsid w:val="00BC1C92"/>
    <w:rsid w:val="00BD315D"/>
    <w:rsid w:val="00C02FF7"/>
    <w:rsid w:val="00C3279E"/>
    <w:rsid w:val="00C34857"/>
    <w:rsid w:val="00C530F6"/>
    <w:rsid w:val="00C7313F"/>
    <w:rsid w:val="00CA2E26"/>
    <w:rsid w:val="00CF3BB3"/>
    <w:rsid w:val="00D00918"/>
    <w:rsid w:val="00D1343C"/>
    <w:rsid w:val="00D14326"/>
    <w:rsid w:val="00D212C0"/>
    <w:rsid w:val="00D24B91"/>
    <w:rsid w:val="00D3083C"/>
    <w:rsid w:val="00D772CC"/>
    <w:rsid w:val="00D84F30"/>
    <w:rsid w:val="00D878A6"/>
    <w:rsid w:val="00DB1B6C"/>
    <w:rsid w:val="00DB50FC"/>
    <w:rsid w:val="00DE74BD"/>
    <w:rsid w:val="00DE7D07"/>
    <w:rsid w:val="00E249E4"/>
    <w:rsid w:val="00E25BEA"/>
    <w:rsid w:val="00E45F3F"/>
    <w:rsid w:val="00E66B4F"/>
    <w:rsid w:val="00E72198"/>
    <w:rsid w:val="00E73576"/>
    <w:rsid w:val="00E8276B"/>
    <w:rsid w:val="00E93951"/>
    <w:rsid w:val="00E95007"/>
    <w:rsid w:val="00EB7822"/>
    <w:rsid w:val="00EC50A9"/>
    <w:rsid w:val="00ED04DB"/>
    <w:rsid w:val="00ED2849"/>
    <w:rsid w:val="00EE3B28"/>
    <w:rsid w:val="00F02C15"/>
    <w:rsid w:val="00F07939"/>
    <w:rsid w:val="00F112F6"/>
    <w:rsid w:val="00F21455"/>
    <w:rsid w:val="00F42674"/>
    <w:rsid w:val="00F51E9A"/>
    <w:rsid w:val="00F5354B"/>
    <w:rsid w:val="00F94229"/>
    <w:rsid w:val="00F95135"/>
    <w:rsid w:val="00F9658C"/>
    <w:rsid w:val="00F978FD"/>
    <w:rsid w:val="00FA738E"/>
    <w:rsid w:val="00FC438B"/>
    <w:rsid w:val="00FE7433"/>
    <w:rsid w:val="00FF4566"/>
    <w:rsid w:val="01234E98"/>
    <w:rsid w:val="015F1951"/>
    <w:rsid w:val="020C171D"/>
    <w:rsid w:val="0216715F"/>
    <w:rsid w:val="02E0291A"/>
    <w:rsid w:val="04E54546"/>
    <w:rsid w:val="05992762"/>
    <w:rsid w:val="07B0770E"/>
    <w:rsid w:val="0942143F"/>
    <w:rsid w:val="0D100297"/>
    <w:rsid w:val="0D202B45"/>
    <w:rsid w:val="0F8D4C87"/>
    <w:rsid w:val="10505FAA"/>
    <w:rsid w:val="105F7E7E"/>
    <w:rsid w:val="11E56B5B"/>
    <w:rsid w:val="125C77AB"/>
    <w:rsid w:val="14CB726E"/>
    <w:rsid w:val="17E92249"/>
    <w:rsid w:val="18D304F1"/>
    <w:rsid w:val="19F32577"/>
    <w:rsid w:val="19F45B80"/>
    <w:rsid w:val="1B0C078D"/>
    <w:rsid w:val="1B2B31E2"/>
    <w:rsid w:val="1B4C295A"/>
    <w:rsid w:val="1B973C63"/>
    <w:rsid w:val="1BA1001E"/>
    <w:rsid w:val="1D317259"/>
    <w:rsid w:val="1E664F5B"/>
    <w:rsid w:val="1EB23B8A"/>
    <w:rsid w:val="1EB34BE1"/>
    <w:rsid w:val="215E639F"/>
    <w:rsid w:val="21EC3183"/>
    <w:rsid w:val="225E72CD"/>
    <w:rsid w:val="246E2F77"/>
    <w:rsid w:val="254B4E2B"/>
    <w:rsid w:val="283D7C94"/>
    <w:rsid w:val="29480E03"/>
    <w:rsid w:val="2983634D"/>
    <w:rsid w:val="2BB02055"/>
    <w:rsid w:val="2C575A56"/>
    <w:rsid w:val="2F257714"/>
    <w:rsid w:val="2F3275E5"/>
    <w:rsid w:val="30AA08EF"/>
    <w:rsid w:val="30D23D1C"/>
    <w:rsid w:val="31221CF5"/>
    <w:rsid w:val="31400178"/>
    <w:rsid w:val="31BA0BD0"/>
    <w:rsid w:val="321E3342"/>
    <w:rsid w:val="327759C8"/>
    <w:rsid w:val="33185FE3"/>
    <w:rsid w:val="34AC1B72"/>
    <w:rsid w:val="34EE2E36"/>
    <w:rsid w:val="36777241"/>
    <w:rsid w:val="371E78D5"/>
    <w:rsid w:val="38A951DB"/>
    <w:rsid w:val="38B31605"/>
    <w:rsid w:val="39003F4F"/>
    <w:rsid w:val="3C07002B"/>
    <w:rsid w:val="3D0D152A"/>
    <w:rsid w:val="3DF62756"/>
    <w:rsid w:val="3F1B7587"/>
    <w:rsid w:val="41E57B4F"/>
    <w:rsid w:val="432F26F6"/>
    <w:rsid w:val="43880F63"/>
    <w:rsid w:val="441C5A6F"/>
    <w:rsid w:val="44C44FCC"/>
    <w:rsid w:val="44CC7369"/>
    <w:rsid w:val="457F5108"/>
    <w:rsid w:val="46951B6B"/>
    <w:rsid w:val="49A34401"/>
    <w:rsid w:val="4A3E30AB"/>
    <w:rsid w:val="4A631061"/>
    <w:rsid w:val="4AC14DAC"/>
    <w:rsid w:val="4D154C85"/>
    <w:rsid w:val="4EB35ECE"/>
    <w:rsid w:val="508F4E24"/>
    <w:rsid w:val="512F1E48"/>
    <w:rsid w:val="51461E90"/>
    <w:rsid w:val="51463753"/>
    <w:rsid w:val="52553A93"/>
    <w:rsid w:val="53521F8B"/>
    <w:rsid w:val="53E22F47"/>
    <w:rsid w:val="54522FF8"/>
    <w:rsid w:val="55450629"/>
    <w:rsid w:val="56692963"/>
    <w:rsid w:val="568B0F48"/>
    <w:rsid w:val="5786217B"/>
    <w:rsid w:val="59337A15"/>
    <w:rsid w:val="59810274"/>
    <w:rsid w:val="5CA96A00"/>
    <w:rsid w:val="5CF730BC"/>
    <w:rsid w:val="5E5F0DCE"/>
    <w:rsid w:val="5FA40A7B"/>
    <w:rsid w:val="5FD56D29"/>
    <w:rsid w:val="5FEC7F3F"/>
    <w:rsid w:val="60F74BC3"/>
    <w:rsid w:val="617D3BF8"/>
    <w:rsid w:val="61841F6A"/>
    <w:rsid w:val="623007A9"/>
    <w:rsid w:val="637D7558"/>
    <w:rsid w:val="644F19AC"/>
    <w:rsid w:val="65AA4920"/>
    <w:rsid w:val="65E31D0B"/>
    <w:rsid w:val="67694F1E"/>
    <w:rsid w:val="69597934"/>
    <w:rsid w:val="6B964DDC"/>
    <w:rsid w:val="6C783074"/>
    <w:rsid w:val="6D9E65C6"/>
    <w:rsid w:val="6DA81947"/>
    <w:rsid w:val="6EB66DE2"/>
    <w:rsid w:val="6ED3075F"/>
    <w:rsid w:val="6F2A2D4B"/>
    <w:rsid w:val="6F8A0C1E"/>
    <w:rsid w:val="703F45D4"/>
    <w:rsid w:val="715D6546"/>
    <w:rsid w:val="71BE069E"/>
    <w:rsid w:val="73953409"/>
    <w:rsid w:val="73E069A3"/>
    <w:rsid w:val="762724ED"/>
    <w:rsid w:val="78104AA8"/>
    <w:rsid w:val="78E257C5"/>
    <w:rsid w:val="794B35BE"/>
    <w:rsid w:val="7B0A3A31"/>
    <w:rsid w:val="7B3360ED"/>
    <w:rsid w:val="7BDF037E"/>
    <w:rsid w:val="7BF50948"/>
    <w:rsid w:val="7CE66A78"/>
    <w:rsid w:val="7D23564C"/>
    <w:rsid w:val="7D5E062D"/>
    <w:rsid w:val="7DF76CD8"/>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Emphasis"/>
    <w:basedOn w:val="8"/>
    <w:qFormat/>
    <w:uiPriority w:val="0"/>
    <w:rPr>
      <w:i/>
    </w:rPr>
  </w:style>
  <w:style w:type="character" w:customStyle="1" w:styleId="10">
    <w:name w:val="页眉 Char"/>
    <w:basedOn w:val="8"/>
    <w:link w:val="5"/>
    <w:qFormat/>
    <w:uiPriority w:val="0"/>
    <w:rPr>
      <w:rFonts w:asciiTheme="minorHAnsi" w:hAnsiTheme="minorHAnsi" w:eastAsiaTheme="minorEastAsia" w:cstheme="minorBidi"/>
      <w:kern w:val="2"/>
      <w:sz w:val="18"/>
      <w:szCs w:val="18"/>
    </w:rPr>
  </w:style>
  <w:style w:type="character" w:customStyle="1" w:styleId="11">
    <w:name w:val="页脚 Char"/>
    <w:basedOn w:val="8"/>
    <w:link w:val="4"/>
    <w:qFormat/>
    <w:uiPriority w:val="0"/>
    <w:rPr>
      <w:rFonts w:asciiTheme="minorHAnsi" w:hAnsiTheme="minorHAnsi" w:eastAsiaTheme="minorEastAsia" w:cstheme="minorBidi"/>
      <w:kern w:val="2"/>
      <w:sz w:val="18"/>
      <w:szCs w:val="18"/>
    </w:rPr>
  </w:style>
  <w:style w:type="paragraph" w:styleId="12">
    <w:name w:val="List Paragraph"/>
    <w:basedOn w:val="1"/>
    <w:qFormat/>
    <w:uiPriority w:val="99"/>
    <w:pPr>
      <w:ind w:firstLine="420" w:firstLineChars="200"/>
    </w:pPr>
  </w:style>
  <w:style w:type="character" w:customStyle="1" w:styleId="13">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hart" Target="charts/chart12.xml"/><Relationship Id="rId17" Type="http://schemas.openxmlformats.org/officeDocument/2006/relationships/chart" Target="charts/chart11.xml"/><Relationship Id="rId16" Type="http://schemas.openxmlformats.org/officeDocument/2006/relationships/chart" Target="charts/chart10.xml"/><Relationship Id="rId15" Type="http://schemas.openxmlformats.org/officeDocument/2006/relationships/chart" Target="charts/chart9.xml"/><Relationship Id="rId14" Type="http://schemas.openxmlformats.org/officeDocument/2006/relationships/chart" Target="charts/chart8.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b="0"/>
              <a:t>决算收入支出图表</a:t>
            </a:r>
            <a:endParaRPr lang="zh-CN" altLang="en-US" b="0"/>
          </a:p>
        </c:rich>
      </c:tx>
      <c:layout/>
      <c:overlay val="0"/>
    </c:title>
    <c:autoTitleDeleted val="0"/>
    <c:plotArea>
      <c:layout/>
      <c:pieChart>
        <c:varyColors val="1"/>
        <c:ser>
          <c:idx val="0"/>
          <c:order val="0"/>
          <c:tx>
            <c:strRef>
              <c:f>Sheet1!$B$1</c:f>
              <c:strCache>
                <c:ptCount val="1"/>
                <c:pt idx="0">
                  <c:v>决算收入支出图表</c:v>
                </c:pt>
              </c:strCache>
            </c:strRef>
          </c:tx>
          <c:explosion val="25"/>
          <c:dPt>
            <c:idx val="0"/>
            <c:bubble3D val="0"/>
            <c:explosion val="0"/>
          </c:dPt>
          <c:dLbls>
            <c:delete val="1"/>
          </c:dLbls>
          <c:cat>
            <c:strRef>
              <c:f>Sheet1!$A$2</c:f>
              <c:strCache>
                <c:ptCount val="1"/>
                <c:pt idx="0">
                  <c:v>一般公共预算财政拨款收入</c:v>
                </c:pt>
              </c:strCache>
            </c:strRef>
          </c:cat>
          <c:val>
            <c:numRef>
              <c:f>Sheet1!$B$2</c:f>
              <c:numCache>
                <c:formatCode>General</c:formatCode>
                <c:ptCount val="1"/>
                <c:pt idx="0">
                  <c:v>523.24</c:v>
                </c:pt>
              </c:numCache>
            </c:numRef>
          </c:val>
        </c:ser>
        <c:dLbls>
          <c:showLegendKey val="0"/>
          <c:showVal val="0"/>
          <c:showCatName val="0"/>
          <c:showSerName val="0"/>
          <c:showPercent val="0"/>
          <c:showBubbleSize val="0"/>
          <c:showLeaderLines val="1"/>
        </c:dLbls>
        <c:firstSliceAng val="0"/>
      </c:pieChart>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pt idx="0">
                  <c:v>30701</c:v>
                </c:pt>
                <c:pt idx="1">
                  <c:v>30702</c:v>
                </c:pt>
              </c:numCache>
            </c:num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398555392"/>
        <c:axId val="399253504"/>
      </c:barChart>
      <c:catAx>
        <c:axId val="39855539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99253504"/>
        <c:crosses val="autoZero"/>
        <c:auto val="1"/>
        <c:lblAlgn val="ctr"/>
        <c:lblOffset val="100"/>
        <c:noMultiLvlLbl val="0"/>
      </c:catAx>
      <c:valAx>
        <c:axId val="39925350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9855539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Sheet1!$A$2:$A$17</c:f>
              <c:numCache>
                <c:formatCode>General</c:formatCod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numCache>
            </c:num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400074624"/>
        <c:axId val="400084992"/>
      </c:barChart>
      <c:catAx>
        <c:axId val="40007462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0084992"/>
        <c:crosses val="autoZero"/>
        <c:auto val="1"/>
        <c:lblAlgn val="ctr"/>
        <c:lblOffset val="100"/>
        <c:noMultiLvlLbl val="0"/>
      </c:catAx>
      <c:valAx>
        <c:axId val="40008499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007462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Sheet1!$A$2:$A$6</c:f>
              <c:numCache>
                <c:formatCode>General</c:formatCode>
                <c:ptCount val="5"/>
                <c:pt idx="0">
                  <c:v>39907</c:v>
                </c:pt>
                <c:pt idx="1">
                  <c:v>39908</c:v>
                </c:pt>
                <c:pt idx="2">
                  <c:v>39909</c:v>
                </c:pt>
                <c:pt idx="3">
                  <c:v>39910</c:v>
                </c:pt>
                <c:pt idx="4">
                  <c:v>39999</c:v>
                </c:pt>
              </c:numCache>
            </c:num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428984960"/>
        <c:axId val="429262336"/>
      </c:barChart>
      <c:catAx>
        <c:axId val="42898496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29262336"/>
        <c:crosses val="autoZero"/>
        <c:auto val="1"/>
        <c:lblAlgn val="ctr"/>
        <c:lblOffset val="100"/>
        <c:noMultiLvlLbl val="0"/>
      </c:catAx>
      <c:valAx>
        <c:axId val="42926233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2898496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b="0"/>
              <a:t>支出决算图表</a:t>
            </a:r>
            <a:endParaRPr lang="zh-CN" altLang="en-US" b="0"/>
          </a:p>
        </c:rich>
      </c:tx>
      <c:layout/>
      <c:overlay val="0"/>
    </c:title>
    <c:autoTitleDeleted val="0"/>
    <c:plotArea>
      <c:layout/>
      <c:barChart>
        <c:barDir val="col"/>
        <c:grouping val="clustered"/>
        <c:varyColors val="0"/>
        <c:ser>
          <c:idx val="0"/>
          <c:order val="0"/>
          <c:tx>
            <c:strRef>
              <c:f>Sheet1!$B$1</c:f>
              <c:strCache>
                <c:ptCount val="1"/>
                <c:pt idx="0">
                  <c:v>2022</c:v>
                </c:pt>
              </c:strCache>
            </c:strRef>
          </c:tx>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Sheet1!$B$2:$B$6</c:f>
              <c:numCache>
                <c:formatCode>General</c:formatCode>
                <c:ptCount val="5"/>
                <c:pt idx="0">
                  <c:v>2.44</c:v>
                </c:pt>
                <c:pt idx="1">
                  <c:v>381.11</c:v>
                </c:pt>
                <c:pt idx="2">
                  <c:v>18.81</c:v>
                </c:pt>
                <c:pt idx="3">
                  <c:v>13.79</c:v>
                </c:pt>
                <c:pt idx="4">
                  <c:v>29.16</c:v>
                </c:pt>
              </c:numCache>
            </c:numRef>
          </c:val>
        </c:ser>
        <c:ser>
          <c:idx val="1"/>
          <c:order val="1"/>
          <c:tx>
            <c:strRef>
              <c:f>Sheet1!$C$1</c:f>
              <c:strCache>
                <c:ptCount val="1"/>
                <c:pt idx="0">
                  <c:v>2023</c:v>
                </c:pt>
              </c:strCache>
            </c:strRef>
          </c:tx>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Sheet1!$C$2:$C$6</c:f>
              <c:numCache>
                <c:formatCode>General</c:formatCode>
                <c:ptCount val="5"/>
                <c:pt idx="0">
                  <c:v>4.45</c:v>
                </c:pt>
                <c:pt idx="1">
                  <c:v>431.69</c:v>
                </c:pt>
                <c:pt idx="2">
                  <c:v>31.8</c:v>
                </c:pt>
                <c:pt idx="3">
                  <c:v>23.12</c:v>
                </c:pt>
                <c:pt idx="4">
                  <c:v>32.18</c:v>
                </c:pt>
              </c:numCache>
            </c:numRef>
          </c:val>
        </c:ser>
        <c:dLbls>
          <c:showLegendKey val="0"/>
          <c:showVal val="0"/>
          <c:showCatName val="0"/>
          <c:showSerName val="0"/>
          <c:showPercent val="0"/>
          <c:showBubbleSize val="0"/>
        </c:dLbls>
        <c:gapWidth val="150"/>
        <c:axId val="325528576"/>
        <c:axId val="325612672"/>
      </c:barChart>
      <c:catAx>
        <c:axId val="325528576"/>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25612672"/>
        <c:crosses val="autoZero"/>
        <c:auto val="1"/>
        <c:lblAlgn val="ctr"/>
        <c:lblOffset val="100"/>
        <c:noMultiLvlLbl val="0"/>
      </c:catAx>
      <c:valAx>
        <c:axId val="32561267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25528576"/>
        <c:crosses val="autoZero"/>
        <c:crossBetween val="between"/>
      </c:valAx>
      <c:spPr>
        <a:ln>
          <a:solidFill>
            <a:srgbClr val="5B9BD5">
              <a:alpha val="30000"/>
            </a:srgbClr>
          </a:solidFill>
        </a:ln>
      </c:spPr>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ln w="6350" cap="flat" cmpd="sng" algn="ctr">
      <a:solidFill>
        <a:srgbClr val="5B9BD5">
          <a:alpha val="30000"/>
        </a:srgbClr>
      </a:solidFill>
      <a:prstDash val="solid"/>
      <a:round/>
    </a:ln>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一般公共服务支出</a:t>
            </a:r>
            <a:endParaRPr lang="zh-CN" altLang="en-US"/>
          </a:p>
        </c:rich>
      </c:tx>
      <c:layout/>
      <c:overlay val="0"/>
    </c:title>
    <c:autoTitleDeleted val="0"/>
    <c:plotArea>
      <c:layout/>
      <c:barChart>
        <c:barDir val="col"/>
        <c:grouping val="clustered"/>
        <c:varyColors val="0"/>
        <c:ser>
          <c:idx val="0"/>
          <c:order val="0"/>
          <c:tx>
            <c:strRef>
              <c:f>Sheet1!$B$1</c:f>
              <c:strCache>
                <c:ptCount val="1"/>
                <c:pt idx="0">
                  <c:v>科目代码</c:v>
                </c:pt>
              </c:strCache>
            </c:strRef>
          </c:tx>
          <c:invertIfNegative val="0"/>
          <c:dLbls>
            <c:delete val="1"/>
          </c:dLbls>
          <c:cat>
            <c:strRef>
              <c:f>Sheet1!$A$2:$A$3</c:f>
              <c:strCache>
                <c:ptCount val="2"/>
                <c:pt idx="0">
                  <c:v>2012999</c:v>
                </c:pt>
                <c:pt idx="1">
                  <c:v>201x</c:v>
                </c:pt>
              </c:strCache>
            </c:strRef>
          </c:cat>
          <c:val>
            <c:numRef>
              <c:f>Sheet1!$B$2:$B$3</c:f>
              <c:numCache>
                <c:formatCode>General</c:formatCode>
                <c:ptCount val="2"/>
                <c:pt idx="0">
                  <c:v>4.45</c:v>
                </c:pt>
                <c:pt idx="1">
                  <c:v>4.45</c:v>
                </c:pt>
              </c:numCache>
            </c:numRef>
          </c:val>
        </c:ser>
        <c:dLbls>
          <c:showLegendKey val="0"/>
          <c:showVal val="0"/>
          <c:showCatName val="0"/>
          <c:showSerName val="0"/>
          <c:showPercent val="0"/>
          <c:showBubbleSize val="0"/>
        </c:dLbls>
        <c:gapWidth val="150"/>
        <c:axId val="325653632"/>
        <c:axId val="325655168"/>
      </c:barChart>
      <c:catAx>
        <c:axId val="325653632"/>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25655168"/>
        <c:crosses val="autoZero"/>
        <c:auto val="1"/>
        <c:lblAlgn val="ctr"/>
        <c:lblOffset val="100"/>
        <c:noMultiLvlLbl val="0"/>
      </c:catAx>
      <c:valAx>
        <c:axId val="32565516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25653632"/>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社会保障和就业支出</a:t>
            </a:r>
            <a:endParaRPr lang="zh-CN" altLang="en-US"/>
          </a:p>
        </c:rich>
      </c:tx>
      <c:layout/>
      <c:overlay val="0"/>
    </c:title>
    <c:autoTitleDeleted val="0"/>
    <c:plotArea>
      <c:layout/>
      <c:barChart>
        <c:barDir val="col"/>
        <c:grouping val="clustered"/>
        <c:varyColors val="0"/>
        <c:ser>
          <c:idx val="0"/>
          <c:order val="0"/>
          <c:tx>
            <c:strRef>
              <c:f>Sheet1!$B$1</c:f>
              <c:strCache>
                <c:ptCount val="1"/>
                <c:pt idx="0">
                  <c:v>科目代码</c:v>
                </c:pt>
              </c:strCache>
            </c:strRef>
          </c:tx>
          <c:invertIfNegative val="0"/>
          <c:dLbls>
            <c:delete val="1"/>
          </c:dLbls>
          <c:cat>
            <c:strRef>
              <c:f>Sheet1!$A$2:$A$3</c:f>
              <c:strCache>
                <c:ptCount val="2"/>
                <c:pt idx="0">
                  <c:v>2080505</c:v>
                </c:pt>
                <c:pt idx="1">
                  <c:v>208x</c:v>
                </c:pt>
              </c:strCache>
            </c:strRef>
          </c:cat>
          <c:val>
            <c:numRef>
              <c:f>Sheet1!$B$2:$B$3</c:f>
              <c:numCache>
                <c:formatCode>General</c:formatCode>
                <c:ptCount val="2"/>
                <c:pt idx="0">
                  <c:v>31.8</c:v>
                </c:pt>
                <c:pt idx="1">
                  <c:v>31.8</c:v>
                </c:pt>
              </c:numCache>
            </c:numRef>
          </c:val>
        </c:ser>
        <c:dLbls>
          <c:showLegendKey val="0"/>
          <c:showVal val="0"/>
          <c:showCatName val="0"/>
          <c:showSerName val="0"/>
          <c:showPercent val="0"/>
          <c:showBubbleSize val="0"/>
        </c:dLbls>
        <c:gapWidth val="150"/>
        <c:axId val="328215552"/>
        <c:axId val="329787264"/>
      </c:barChart>
      <c:catAx>
        <c:axId val="328215552"/>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29787264"/>
        <c:crosses val="autoZero"/>
        <c:auto val="1"/>
        <c:lblAlgn val="ctr"/>
        <c:lblOffset val="100"/>
        <c:noMultiLvlLbl val="0"/>
      </c:catAx>
      <c:valAx>
        <c:axId val="32978726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28215552"/>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住房保障支出</a:t>
            </a:r>
            <a:endParaRPr lang="zh-CN" altLang="en-US"/>
          </a:p>
        </c:rich>
      </c:tx>
      <c:layout/>
      <c:overlay val="0"/>
    </c:title>
    <c:autoTitleDeleted val="0"/>
    <c:plotArea>
      <c:layout/>
      <c:barChart>
        <c:barDir val="col"/>
        <c:grouping val="clustered"/>
        <c:varyColors val="0"/>
        <c:ser>
          <c:idx val="0"/>
          <c:order val="0"/>
          <c:tx>
            <c:strRef>
              <c:f>Sheet1!$B$1</c:f>
              <c:strCache>
                <c:ptCount val="1"/>
                <c:pt idx="0">
                  <c:v>科目代码</c:v>
                </c:pt>
              </c:strCache>
            </c:strRef>
          </c:tx>
          <c:invertIfNegative val="0"/>
          <c:dLbls>
            <c:delete val="1"/>
          </c:dLbls>
          <c:cat>
            <c:strRef>
              <c:f>Sheet1!$A$2:$A$3</c:f>
              <c:strCache>
                <c:ptCount val="2"/>
                <c:pt idx="0">
                  <c:v>2210201</c:v>
                </c:pt>
                <c:pt idx="1">
                  <c:v>221x</c:v>
                </c:pt>
              </c:strCache>
            </c:strRef>
          </c:cat>
          <c:val>
            <c:numRef>
              <c:f>Sheet1!$B$2:$B$3</c:f>
              <c:numCache>
                <c:formatCode>General</c:formatCode>
                <c:ptCount val="2"/>
                <c:pt idx="0">
                  <c:v>23.21</c:v>
                </c:pt>
                <c:pt idx="1">
                  <c:v>23.21</c:v>
                </c:pt>
              </c:numCache>
            </c:numRef>
          </c:val>
        </c:ser>
        <c:dLbls>
          <c:showLegendKey val="0"/>
          <c:showVal val="0"/>
          <c:showCatName val="0"/>
          <c:showSerName val="0"/>
          <c:showPercent val="0"/>
          <c:showBubbleSize val="0"/>
        </c:dLbls>
        <c:gapWidth val="150"/>
        <c:axId val="329840896"/>
        <c:axId val="331248384"/>
      </c:barChart>
      <c:catAx>
        <c:axId val="329840896"/>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31248384"/>
        <c:crosses val="autoZero"/>
        <c:auto val="1"/>
        <c:lblAlgn val="ctr"/>
        <c:lblOffset val="100"/>
        <c:noMultiLvlLbl val="0"/>
      </c:catAx>
      <c:valAx>
        <c:axId val="33124838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29840896"/>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其他支出</a:t>
            </a:r>
            <a:endParaRPr lang="zh-CN" altLang="en-US"/>
          </a:p>
        </c:rich>
      </c:tx>
      <c:layout/>
      <c:overlay val="0"/>
    </c:title>
    <c:autoTitleDeleted val="0"/>
    <c:plotArea>
      <c:layout/>
      <c:barChart>
        <c:barDir val="col"/>
        <c:grouping val="clustered"/>
        <c:varyColors val="0"/>
        <c:ser>
          <c:idx val="0"/>
          <c:order val="0"/>
          <c:tx>
            <c:strRef>
              <c:f>Sheet1!$B$1</c:f>
              <c:strCache>
                <c:ptCount val="1"/>
                <c:pt idx="0">
                  <c:v>科目代码</c:v>
                </c:pt>
              </c:strCache>
            </c:strRef>
          </c:tx>
          <c:invertIfNegative val="0"/>
          <c:dLbls>
            <c:delete val="1"/>
          </c:dLbls>
          <c:cat>
            <c:strRef>
              <c:f>Sheet1!$A$2:$A$3</c:f>
              <c:strCache>
                <c:ptCount val="2"/>
                <c:pt idx="0">
                  <c:v>2299999</c:v>
                </c:pt>
                <c:pt idx="1">
                  <c:v>229x</c:v>
                </c:pt>
              </c:strCache>
            </c:strRef>
          </c:cat>
          <c:val>
            <c:numRef>
              <c:f>Sheet1!$B$2:$B$3</c:f>
              <c:numCache>
                <c:formatCode>General</c:formatCode>
                <c:ptCount val="2"/>
                <c:pt idx="0">
                  <c:v>32.18</c:v>
                </c:pt>
                <c:pt idx="1">
                  <c:v>32.18</c:v>
                </c:pt>
              </c:numCache>
            </c:numRef>
          </c:val>
        </c:ser>
        <c:dLbls>
          <c:showLegendKey val="0"/>
          <c:showVal val="0"/>
          <c:showCatName val="0"/>
          <c:showSerName val="0"/>
          <c:showPercent val="0"/>
          <c:showBubbleSize val="0"/>
        </c:dLbls>
        <c:gapWidth val="150"/>
        <c:axId val="335660160"/>
        <c:axId val="335662464"/>
      </c:barChart>
      <c:catAx>
        <c:axId val="335660160"/>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35662464"/>
        <c:crosses val="autoZero"/>
        <c:auto val="1"/>
        <c:lblAlgn val="ctr"/>
        <c:lblOffset val="100"/>
        <c:noMultiLvlLbl val="0"/>
      </c:catAx>
      <c:valAx>
        <c:axId val="33566246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35660160"/>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Sheet1!$A$2:$A$14</c:f>
              <c:strCach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strCache>
            </c:strRef>
          </c:cat>
          <c:val>
            <c:numRef>
              <c:f>Sheet1!$B$2:$B$14</c:f>
              <c:numCache>
                <c:formatCode>General</c:formatCode>
                <c:ptCount val="13"/>
                <c:pt idx="0">
                  <c:v>106.71</c:v>
                </c:pt>
                <c:pt idx="1">
                  <c:v>9.31</c:v>
                </c:pt>
                <c:pt idx="2">
                  <c:v>74.8</c:v>
                </c:pt>
                <c:pt idx="3">
                  <c:v>0</c:v>
                </c:pt>
                <c:pt idx="4">
                  <c:v>54.59</c:v>
                </c:pt>
                <c:pt idx="5">
                  <c:v>31.8</c:v>
                </c:pt>
                <c:pt idx="6">
                  <c:v>0</c:v>
                </c:pt>
                <c:pt idx="7">
                  <c:v>12.81</c:v>
                </c:pt>
                <c:pt idx="8">
                  <c:v>0</c:v>
                </c:pt>
                <c:pt idx="9">
                  <c:v>1.57</c:v>
                </c:pt>
                <c:pt idx="10">
                  <c:v>23.12</c:v>
                </c:pt>
                <c:pt idx="11">
                  <c:v>0</c:v>
                </c:pt>
                <c:pt idx="12">
                  <c:v>0</c:v>
                </c:pt>
              </c:numCache>
            </c:numRef>
          </c:val>
        </c:ser>
        <c:dLbls>
          <c:showLegendKey val="0"/>
          <c:showVal val="0"/>
          <c:showCatName val="0"/>
          <c:showSerName val="0"/>
          <c:showPercent val="0"/>
          <c:showBubbleSize val="0"/>
        </c:dLbls>
        <c:gapWidth val="219"/>
        <c:overlap val="-27"/>
        <c:axId val="392049408"/>
        <c:axId val="392052096"/>
      </c:barChart>
      <c:catAx>
        <c:axId val="3920494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92052096"/>
        <c:crosses val="autoZero"/>
        <c:auto val="1"/>
        <c:lblAlgn val="ctr"/>
        <c:lblOffset val="100"/>
        <c:noMultiLvlLbl val="0"/>
      </c:catAx>
      <c:valAx>
        <c:axId val="39205209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920494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Sheet1!$A$2:$A$28</c:f>
              <c:strCach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strCache>
            </c:strRef>
          </c:cat>
          <c:val>
            <c:numRef>
              <c:f>Sheet1!$B$2:$B$28</c:f>
              <c:numCache>
                <c:formatCode>General</c:formatCode>
                <c:ptCount val="2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4.45</c:v>
                </c:pt>
                <c:pt idx="22">
                  <c:v>0</c:v>
                </c:pt>
                <c:pt idx="23">
                  <c:v>0</c:v>
                </c:pt>
                <c:pt idx="24">
                  <c:v>0</c:v>
                </c:pt>
                <c:pt idx="25">
                  <c:v>0</c:v>
                </c:pt>
                <c:pt idx="26">
                  <c:v>0</c:v>
                </c:pt>
              </c:numCache>
            </c:numRef>
          </c:val>
        </c:ser>
        <c:dLbls>
          <c:showLegendKey val="0"/>
          <c:showVal val="0"/>
          <c:showCatName val="0"/>
          <c:showSerName val="0"/>
          <c:showPercent val="0"/>
          <c:showBubbleSize val="0"/>
        </c:dLbls>
        <c:gapWidth val="219"/>
        <c:overlap val="-27"/>
        <c:axId val="393265920"/>
        <c:axId val="393267840"/>
      </c:barChart>
      <c:catAx>
        <c:axId val="393265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93267840"/>
        <c:crosses val="autoZero"/>
        <c:auto val="1"/>
        <c:lblAlgn val="ctr"/>
        <c:lblOffset val="100"/>
        <c:noMultiLvlLbl val="0"/>
      </c:catAx>
      <c:valAx>
        <c:axId val="39326784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93265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ser>
        <c:dLbls>
          <c:showLegendKey val="0"/>
          <c:showVal val="0"/>
          <c:showCatName val="0"/>
          <c:showSerName val="0"/>
          <c:showPercent val="0"/>
          <c:showBubbleSize val="0"/>
        </c:dLbls>
        <c:gapWidth val="219"/>
        <c:overlap val="-27"/>
        <c:axId val="393678848"/>
        <c:axId val="393680384"/>
      </c:barChart>
      <c:catAx>
        <c:axId val="39367884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93680384"/>
        <c:crosses val="autoZero"/>
        <c:auto val="1"/>
        <c:lblAlgn val="ctr"/>
        <c:lblOffset val="100"/>
        <c:noMultiLvlLbl val="0"/>
      </c:catAx>
      <c:valAx>
        <c:axId val="39368038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9367884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8DFB3-FB80-4D80-903A-52B798D4E452}">
  <ds:schemaRefs/>
</ds:datastoreItem>
</file>

<file path=docProps/app.xml><?xml version="1.0" encoding="utf-8"?>
<Properties xmlns="http://schemas.openxmlformats.org/officeDocument/2006/extended-properties" xmlns:vt="http://schemas.openxmlformats.org/officeDocument/2006/docPropsVTypes">
  <Template>Normal</Template>
  <Pages>34</Pages>
  <Words>2183</Words>
  <Characters>12448</Characters>
  <Lines>103</Lines>
  <Paragraphs>29</Paragraphs>
  <TotalTime>12</TotalTime>
  <ScaleCrop>false</ScaleCrop>
  <LinksUpToDate>false</LinksUpToDate>
  <CharactersWithSpaces>14602</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2023-11-19T10:12:00Z</dcterms:created>
  <dc:creator>C D D</dc:creator>
  <cp:lastModifiedBy>Administrator</cp:lastModifiedBy>
  <cp:lastPrinted>2024-12-25T07:46:00Z</cp:lastPrinted>
  <dcterms:modified xsi:type="dcterms:W3CDTF">2025-01-02T01:36:41Z</dcterms:modified>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843F27823027460BAAAF19DF60EFFF0C_13</vt:lpwstr>
  </property>
</Properties>
</file>