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sz w:val="56"/>
          <w:szCs w:val="56"/>
          <w:lang w:eastAsia="zh-CN"/>
        </w:rPr>
      </w:pPr>
      <w:bookmarkStart w:id="43" w:name="_GoBack"/>
      <w:bookmarkEnd w:id="43"/>
      <w:r>
        <w:rPr>
          <w:rFonts w:hint="eastAsia"/>
          <w:sz w:val="56"/>
          <w:szCs w:val="56"/>
          <w:lang w:eastAsia="zh-CN"/>
        </w:rPr>
        <w:t>环江毛南族自治县大才乡社会保障服务中心</w:t>
      </w:r>
    </w:p>
    <w:p>
      <w:pPr>
        <w:pStyle w:val="10"/>
        <w:jc w:val="center"/>
        <w:rPr>
          <w:sz w:val="56"/>
          <w:szCs w:val="56"/>
        </w:rPr>
        <w:sectPr>
          <w:pgSz w:w="11900" w:h="16840"/>
          <w:pgMar w:top="4713" w:right="1913" w:bottom="4713" w:left="2020" w:header="4285" w:footer="2381" w:gutter="0"/>
          <w:pgBorders>
            <w:top w:val="none" w:sz="0" w:space="0"/>
            <w:left w:val="none" w:sz="0" w:space="0"/>
            <w:bottom w:val="none" w:sz="0" w:space="0"/>
            <w:right w:val="none" w:sz="0" w:space="0"/>
          </w:pgBorders>
          <w:pgNumType w:fmt="decimal" w:start="1"/>
          <w:cols w:space="720" w:num="1"/>
          <w:docGrid w:linePitch="360" w:charSpace="0"/>
        </w:sectPr>
      </w:pPr>
      <w:r>
        <w:rPr>
          <w:rFonts w:hint="eastAsia"/>
          <w:sz w:val="56"/>
          <w:szCs w:val="56"/>
          <w:lang w:eastAsia="zh-CN"/>
        </w:rPr>
        <w:t>2024</w:t>
      </w:r>
      <w:r>
        <w:rPr>
          <w:rFonts w:hint="eastAsia" w:asciiTheme="majorEastAsia" w:hAnsiTheme="majorEastAsia" w:eastAsiaTheme="majorEastAsia" w:cstheme="majorEastAsia"/>
          <w:sz w:val="56"/>
          <w:szCs w:val="56"/>
          <w:u w:color="auto"/>
        </w:rPr>
        <w:t>年</w:t>
      </w:r>
      <w:r>
        <w:rPr>
          <w:rFonts w:hint="eastAsia" w:asciiTheme="majorEastAsia" w:hAnsiTheme="majorEastAsia" w:eastAsiaTheme="majorEastAsia" w:cstheme="majorEastAsia"/>
          <w:sz w:val="56"/>
          <w:szCs w:val="56"/>
        </w:rPr>
        <w:t>度部门预算</w:t>
      </w:r>
    </w:p>
    <w:p>
      <w:pPr>
        <w:pStyle w:val="12"/>
        <w:keepNext/>
        <w:keepLines/>
        <w:spacing w:after="240"/>
        <w:jc w:val="center"/>
      </w:pPr>
      <w:bookmarkStart w:id="0" w:name="bookmark0"/>
      <w:bookmarkStart w:id="1" w:name="bookmark1"/>
      <w:bookmarkStart w:id="2" w:name="bookmark2"/>
      <w:r>
        <w:t>目录</w:t>
      </w:r>
      <w:bookmarkEnd w:id="0"/>
      <w:bookmarkEnd w:id="1"/>
      <w:bookmarkEnd w:id="2"/>
    </w:p>
    <w:p>
      <w:pPr>
        <w:pStyle w:val="16"/>
        <w:ind w:left="0" w:leftChars="0" w:firstLine="320" w:firstLineChars="100"/>
        <w:jc w:val="left"/>
      </w:pPr>
      <w:r>
        <w:t>第一部分</w:t>
      </w:r>
      <w:r>
        <w:rPr>
          <w:rFonts w:hint="eastAsia"/>
          <w:lang w:eastAsia="zh-CN"/>
        </w:rPr>
        <w:t>：</w:t>
      </w:r>
      <w:r>
        <w:rPr>
          <w:u w:color="auto"/>
        </w:rPr>
        <w:t>环江毛南族自治县大才乡社会保障服务中心单位</w:t>
      </w:r>
      <w:r>
        <w:t>概况</w:t>
      </w:r>
    </w:p>
    <w:p>
      <w:pPr>
        <w:pStyle w:val="16"/>
        <w:jc w:val="left"/>
      </w:pPr>
      <w:r>
        <w:rPr>
          <w:lang w:val="en-US" w:eastAsia="zh-CN" w:bidi="en-US"/>
        </w:rPr>
        <w:t>—</w:t>
      </w:r>
      <w:r>
        <w:t>、主要职责</w:t>
      </w:r>
    </w:p>
    <w:p>
      <w:pPr>
        <w:pStyle w:val="16"/>
        <w:jc w:val="left"/>
        <w:rPr>
          <w:rFonts w:hint="eastAsia"/>
        </w:rPr>
      </w:pPr>
      <w:r>
        <w:rPr>
          <w:rFonts w:hint="eastAsia"/>
          <w:lang w:val="en-US" w:eastAsia="zh-CN"/>
        </w:rPr>
        <w:t>二、</w:t>
      </w:r>
      <w:r>
        <w:rPr>
          <w:rFonts w:hint="eastAsia"/>
        </w:rPr>
        <w:t>机构设置情况</w:t>
      </w:r>
    </w:p>
    <w:p>
      <w:pPr>
        <w:pStyle w:val="16"/>
        <w:ind w:left="0" w:leftChars="0" w:firstLine="320" w:firstLineChars="100"/>
        <w:jc w:val="left"/>
      </w:pPr>
      <w:r>
        <w:t>第二部分</w:t>
      </w:r>
      <w:r>
        <w:rPr>
          <w:rFonts w:hint="eastAsia"/>
          <w:lang w:eastAsia="zh-CN"/>
        </w:rPr>
        <w:t>：</w:t>
      </w:r>
      <w:r>
        <w:rPr>
          <w:u w:color="auto"/>
        </w:rPr>
        <w:t>环江毛南族自治县大才乡社会保障服务中心2024</w:t>
      </w:r>
      <w:r>
        <w:t>部门预算情况说明</w:t>
      </w:r>
    </w:p>
    <w:p>
      <w:pPr>
        <w:pStyle w:val="16"/>
        <w:numPr>
          <w:ilvl w:val="0"/>
          <w:numId w:val="0"/>
        </w:numPr>
        <w:ind w:firstLine="640" w:firstLineChars="200"/>
        <w:jc w:val="left"/>
        <w:rPr>
          <w:rFonts w:hint="eastAsia"/>
        </w:rPr>
      </w:pPr>
      <w:r>
        <w:rPr>
          <w:rFonts w:hint="eastAsia"/>
        </w:rPr>
        <w:t>一、部门收支总体情况说明</w:t>
      </w:r>
    </w:p>
    <w:p>
      <w:pPr>
        <w:pStyle w:val="16"/>
        <w:numPr>
          <w:ilvl w:val="0"/>
          <w:numId w:val="0"/>
        </w:numPr>
        <w:ind w:firstLine="640" w:firstLineChars="200"/>
        <w:jc w:val="left"/>
        <w:rPr>
          <w:rFonts w:hint="eastAsia"/>
        </w:rPr>
      </w:pPr>
      <w:r>
        <w:rPr>
          <w:rFonts w:hint="eastAsia"/>
        </w:rPr>
        <w:t>二、部门收入总体情况说明</w:t>
      </w:r>
    </w:p>
    <w:p>
      <w:pPr>
        <w:pStyle w:val="16"/>
        <w:numPr>
          <w:ilvl w:val="0"/>
          <w:numId w:val="0"/>
        </w:numPr>
        <w:ind w:firstLine="640" w:firstLineChars="200"/>
        <w:jc w:val="left"/>
        <w:rPr>
          <w:rFonts w:hint="eastAsia"/>
        </w:rPr>
      </w:pPr>
      <w:r>
        <w:rPr>
          <w:rFonts w:hint="eastAsia"/>
        </w:rPr>
        <w:t>三、部门支出总体情况说明</w:t>
      </w:r>
    </w:p>
    <w:p>
      <w:pPr>
        <w:pStyle w:val="16"/>
        <w:numPr>
          <w:ilvl w:val="0"/>
          <w:numId w:val="0"/>
        </w:numPr>
        <w:ind w:firstLine="640" w:firstLineChars="200"/>
        <w:jc w:val="left"/>
        <w:rPr>
          <w:rFonts w:hint="eastAsia"/>
        </w:rPr>
      </w:pPr>
      <w:r>
        <w:rPr>
          <w:rFonts w:hint="eastAsia"/>
        </w:rPr>
        <w:t>四、财政拨款收支总体情况说明</w:t>
      </w:r>
    </w:p>
    <w:p>
      <w:pPr>
        <w:pStyle w:val="16"/>
        <w:numPr>
          <w:ilvl w:val="0"/>
          <w:numId w:val="0"/>
        </w:numPr>
        <w:ind w:firstLine="640" w:firstLineChars="200"/>
        <w:jc w:val="left"/>
        <w:rPr>
          <w:rFonts w:hint="eastAsia"/>
        </w:rPr>
      </w:pPr>
      <w:r>
        <w:rPr>
          <w:rFonts w:hint="eastAsia"/>
        </w:rPr>
        <w:t>五、一般公共预算支出情况说明</w:t>
      </w:r>
    </w:p>
    <w:p>
      <w:pPr>
        <w:pStyle w:val="16"/>
        <w:numPr>
          <w:ilvl w:val="0"/>
          <w:numId w:val="0"/>
        </w:numPr>
        <w:ind w:firstLine="640" w:firstLineChars="200"/>
        <w:jc w:val="left"/>
        <w:rPr>
          <w:rFonts w:hint="eastAsia"/>
        </w:rPr>
      </w:pPr>
      <w:r>
        <w:rPr>
          <w:rFonts w:hint="eastAsia"/>
        </w:rPr>
        <w:t>六、一般公共预算基本支出情况说明</w:t>
      </w:r>
    </w:p>
    <w:p>
      <w:pPr>
        <w:pStyle w:val="16"/>
        <w:numPr>
          <w:ilvl w:val="0"/>
          <w:numId w:val="0"/>
        </w:numPr>
        <w:ind w:firstLine="640" w:firstLineChars="200"/>
        <w:jc w:val="left"/>
        <w:rPr>
          <w:rFonts w:hint="eastAsia"/>
        </w:rPr>
      </w:pPr>
      <w:r>
        <w:rPr>
          <w:rFonts w:hint="eastAsia"/>
        </w:rPr>
        <w:t>七、一般公共预算“三公”经费支出情况说明</w:t>
      </w:r>
    </w:p>
    <w:p>
      <w:pPr>
        <w:pStyle w:val="16"/>
        <w:numPr>
          <w:ilvl w:val="0"/>
          <w:numId w:val="0"/>
        </w:numPr>
        <w:ind w:firstLine="640" w:firstLineChars="200"/>
        <w:jc w:val="left"/>
        <w:rPr>
          <w:rFonts w:hint="eastAsia"/>
        </w:rPr>
      </w:pPr>
      <w:r>
        <w:rPr>
          <w:rFonts w:hint="eastAsia"/>
        </w:rPr>
        <w:t>八、政府性基金预算支出情况说明</w:t>
      </w:r>
    </w:p>
    <w:p>
      <w:pPr>
        <w:pStyle w:val="16"/>
        <w:numPr>
          <w:ilvl w:val="0"/>
          <w:numId w:val="0"/>
        </w:numPr>
        <w:ind w:firstLine="640" w:firstLineChars="200"/>
        <w:jc w:val="left"/>
        <w:rPr>
          <w:rFonts w:hint="eastAsia"/>
        </w:rPr>
      </w:pPr>
      <w:r>
        <w:rPr>
          <w:rFonts w:hint="eastAsia"/>
        </w:rPr>
        <w:t>九、国有资本经营预算支出情况说明</w:t>
      </w:r>
    </w:p>
    <w:p>
      <w:pPr>
        <w:pStyle w:val="16"/>
        <w:numPr>
          <w:ilvl w:val="0"/>
          <w:numId w:val="0"/>
        </w:numPr>
        <w:ind w:firstLine="640" w:firstLineChars="200"/>
        <w:jc w:val="left"/>
      </w:pPr>
      <w:r>
        <w:rPr>
          <w:rFonts w:hint="eastAsia"/>
        </w:rPr>
        <w:t>十、其他重要事项情况说明</w:t>
      </w:r>
    </w:p>
    <w:p>
      <w:pPr>
        <w:pStyle w:val="16"/>
        <w:ind w:left="0" w:leftChars="0" w:firstLine="320" w:firstLineChars="100"/>
        <w:jc w:val="left"/>
      </w:pPr>
      <w:r>
        <w:t>第三部分</w:t>
      </w:r>
      <w:r>
        <w:rPr>
          <w:rFonts w:hint="eastAsia"/>
          <w:lang w:eastAsia="zh-CN"/>
        </w:rPr>
        <w:t>：</w:t>
      </w:r>
      <w:r>
        <w:rPr>
          <w:u w:color="auto"/>
        </w:rPr>
        <w:t>环江毛南族自治县大才乡社会保障服务中心2024</w:t>
      </w:r>
      <w:r>
        <w:rPr>
          <w:rFonts w:ascii="Times New Roman" w:hAnsi="Times New Roman" w:cs="Times New Roman"/>
          <w:u w:color="auto"/>
        </w:rPr>
        <w:t>年</w:t>
      </w:r>
      <w:r>
        <w:t>部门预算</w:t>
      </w:r>
      <w:r>
        <w:rPr>
          <w:rFonts w:hint="eastAsia"/>
          <w:lang w:val="en-US" w:eastAsia="zh-CN"/>
        </w:rPr>
        <w:t>相关报</w:t>
      </w:r>
      <w:r>
        <w:t>表</w:t>
      </w:r>
    </w:p>
    <w:p>
      <w:pPr>
        <w:pStyle w:val="16"/>
        <w:jc w:val="left"/>
        <w:rPr>
          <w:rFonts w:hint="eastAsia"/>
        </w:rPr>
      </w:pPr>
      <w:r>
        <w:rPr>
          <w:rFonts w:hint="eastAsia"/>
        </w:rPr>
        <w:t>一、部门收支总体情况表</w:t>
      </w:r>
    </w:p>
    <w:p>
      <w:pPr>
        <w:pStyle w:val="16"/>
        <w:jc w:val="left"/>
        <w:rPr>
          <w:rFonts w:hint="eastAsia"/>
        </w:rPr>
      </w:pPr>
      <w:r>
        <w:rPr>
          <w:rFonts w:hint="eastAsia"/>
        </w:rPr>
        <w:t>二、部门收入总体情况表</w:t>
      </w:r>
    </w:p>
    <w:p>
      <w:pPr>
        <w:pStyle w:val="16"/>
        <w:jc w:val="left"/>
        <w:rPr>
          <w:rFonts w:hint="eastAsia"/>
        </w:rPr>
      </w:pPr>
      <w:r>
        <w:rPr>
          <w:rFonts w:hint="eastAsia"/>
        </w:rPr>
        <w:t>三、部门支出总体情况表</w:t>
      </w:r>
    </w:p>
    <w:p>
      <w:pPr>
        <w:pStyle w:val="16"/>
        <w:jc w:val="left"/>
        <w:rPr>
          <w:rFonts w:hint="eastAsia"/>
        </w:rPr>
      </w:pPr>
      <w:r>
        <w:rPr>
          <w:rFonts w:hint="eastAsia"/>
        </w:rPr>
        <w:t>四、财政拨款收支总体情况表</w:t>
      </w:r>
    </w:p>
    <w:p>
      <w:pPr>
        <w:pStyle w:val="16"/>
        <w:jc w:val="left"/>
        <w:rPr>
          <w:rFonts w:hint="eastAsia"/>
        </w:rPr>
      </w:pPr>
      <w:r>
        <w:rPr>
          <w:rFonts w:hint="eastAsia"/>
        </w:rPr>
        <w:t>五、一般公共预算支出情况表</w:t>
      </w:r>
    </w:p>
    <w:p>
      <w:pPr>
        <w:pStyle w:val="16"/>
        <w:jc w:val="left"/>
        <w:rPr>
          <w:rFonts w:hint="eastAsia"/>
        </w:rPr>
      </w:pPr>
      <w:r>
        <w:rPr>
          <w:rFonts w:hint="eastAsia"/>
        </w:rPr>
        <w:t>六、一般公共预算基本支出情况表</w:t>
      </w:r>
    </w:p>
    <w:p>
      <w:pPr>
        <w:pStyle w:val="16"/>
        <w:jc w:val="left"/>
        <w:rPr>
          <w:rFonts w:hint="eastAsia"/>
        </w:rPr>
      </w:pPr>
      <w:r>
        <w:rPr>
          <w:rFonts w:hint="eastAsia"/>
        </w:rPr>
        <w:t>七、一般公开预算“三公”经费支出情况表</w:t>
      </w:r>
    </w:p>
    <w:p>
      <w:pPr>
        <w:pStyle w:val="16"/>
        <w:jc w:val="left"/>
        <w:rPr>
          <w:rFonts w:hint="eastAsia"/>
        </w:rPr>
      </w:pPr>
      <w:r>
        <w:rPr>
          <w:rFonts w:hint="eastAsia"/>
        </w:rPr>
        <w:t>八、政府性基金预算支出情况表</w:t>
      </w:r>
    </w:p>
    <w:p>
      <w:pPr>
        <w:pStyle w:val="16"/>
        <w:jc w:val="left"/>
        <w:rPr>
          <w:rFonts w:hint="eastAsia"/>
        </w:rPr>
      </w:pPr>
      <w:r>
        <w:rPr>
          <w:rFonts w:hint="eastAsia"/>
        </w:rPr>
        <w:t>九、国有资本经营预算支出情况表</w:t>
      </w:r>
    </w:p>
    <w:p>
      <w:pPr>
        <w:pStyle w:val="16"/>
        <w:jc w:val="left"/>
        <w:rPr>
          <w:rFonts w:hint="eastAsia" w:eastAsia="宋体"/>
          <w:lang w:eastAsia="zh-CN"/>
        </w:rPr>
      </w:pPr>
      <w:r>
        <w:rPr>
          <w:rFonts w:hint="eastAsia"/>
        </w:rPr>
        <w:t>十、2024年度预算项目绩效目标公开表</w:t>
      </w:r>
    </w:p>
    <w:p>
      <w:pPr>
        <w:pStyle w:val="16"/>
        <w:ind w:left="0" w:leftChars="0" w:firstLine="320" w:firstLineChars="100"/>
        <w:jc w:val="left"/>
        <w:rPr>
          <w:rFonts w:hint="eastAsia" w:eastAsia="宋体"/>
          <w:lang w:eastAsia="zh-CN"/>
        </w:rPr>
        <w:sectPr>
          <w:footerReference r:id="rId3" w:type="default"/>
          <w:pgSz w:w="11900" w:h="16840"/>
          <w:pgMar w:top="1508" w:right="1674" w:bottom="1508" w:left="1851" w:header="0" w:footer="1077" w:gutter="0"/>
          <w:pgBorders>
            <w:top w:val="none" w:sz="0" w:space="0"/>
            <w:left w:val="none" w:sz="0" w:space="0"/>
            <w:bottom w:val="none" w:sz="0" w:space="0"/>
            <w:right w:val="none" w:sz="0" w:space="0"/>
          </w:pgBorders>
          <w:pgNumType w:fmt="decimal"/>
          <w:cols w:space="720" w:num="1"/>
          <w:docGrid w:linePitch="360" w:charSpace="0"/>
        </w:sectPr>
      </w:pPr>
      <w:r>
        <w:t>第四部分</w:t>
      </w:r>
      <w:r>
        <w:rPr>
          <w:rFonts w:hint="eastAsia"/>
          <w:lang w:eastAsia="zh-CN"/>
        </w:rPr>
        <w:t>：</w:t>
      </w:r>
      <w:r>
        <w:t>名词</w:t>
      </w:r>
      <w:r>
        <w:rPr>
          <w:rFonts w:hint="eastAsia"/>
          <w:lang w:val="en-US" w:eastAsia="zh-CN"/>
        </w:rPr>
        <w:t>解释</w:t>
      </w:r>
    </w:p>
    <w:p>
      <w:pPr>
        <w:pStyle w:val="12"/>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2"/>
      <w:bookmarkStart w:id="5" w:name="bookmark13"/>
      <w:r>
        <w:rPr>
          <w:b/>
          <w:bCs/>
          <w:sz w:val="40"/>
          <w:szCs w:val="40"/>
        </w:rPr>
        <w:t>第一部分</w:t>
      </w:r>
      <w:r>
        <w:rPr>
          <w:rFonts w:hint="eastAsia"/>
          <w:b/>
          <w:bCs/>
          <w:sz w:val="40"/>
          <w:szCs w:val="40"/>
          <w:lang w:eastAsia="zh-CN"/>
        </w:rPr>
        <w:t>：</w:t>
      </w:r>
      <w:r>
        <w:rPr>
          <w:b/>
          <w:sz w:val="40"/>
          <w:u w:color="auto"/>
        </w:rPr>
        <w:t>环江毛南族自治县大才乡社会保障服务中心</w:t>
      </w:r>
      <w:r>
        <w:rPr>
          <w:b/>
          <w:bCs/>
          <w:sz w:val="40"/>
          <w:szCs w:val="40"/>
        </w:rPr>
        <w:t>概况</w:t>
      </w:r>
      <w:bookmarkEnd w:id="3"/>
      <w:bookmarkEnd w:id="4"/>
      <w:bookmarkEnd w:id="5"/>
    </w:p>
    <w:p>
      <w:pPr>
        <w:pStyle w:val="16"/>
        <w:spacing w:after="0" w:line="619" w:lineRule="exact"/>
        <w:ind w:firstLine="620"/>
        <w:jc w:val="left"/>
        <w:rPr>
          <w:b/>
          <w:bCs/>
        </w:rPr>
      </w:pPr>
      <w:r>
        <w:rPr>
          <w:rFonts w:hint="eastAsia"/>
          <w:b/>
          <w:bCs/>
          <w:lang w:val="en-US" w:eastAsia="zh-CN"/>
        </w:rPr>
        <w:t>一、</w:t>
      </w:r>
      <w:r>
        <w:rPr>
          <w:b/>
          <w:bCs/>
        </w:rPr>
        <w:t>主要职责</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环江毛南族自治县大才乡社会保障服务中心承担新型农村养老保险、新型农村合作医疗、城镇居民养老保险和城镇居民医疗保险等的宣传和发动工作,按上级规定收缴社会保险费;负责抓社会救助、劳动技能培训与劳动力转移等农村社会保障服务性工作;完成上级业务部门和乡党委、政府交给的其他工作任务。</w:t>
      </w:r>
    </w:p>
    <w:p>
      <w:pPr>
        <w:pStyle w:val="16"/>
        <w:spacing w:after="0" w:line="619" w:lineRule="exact"/>
        <w:ind w:firstLine="620"/>
        <w:jc w:val="left"/>
        <w:rPr>
          <w:rFonts w:hint="eastAsia"/>
          <w:b/>
          <w:bCs/>
          <w:lang w:val="en-US" w:eastAsia="zh-CN"/>
        </w:rPr>
      </w:pPr>
      <w:bookmarkStart w:id="6" w:name="bookmark24"/>
      <w:r>
        <w:rPr>
          <w:rFonts w:hint="eastAsia"/>
          <w:b/>
          <w:bCs/>
          <w:lang w:val="en-US" w:eastAsia="zh-CN"/>
        </w:rPr>
        <w:t>二</w:t>
      </w:r>
      <w:bookmarkEnd w:id="6"/>
      <w:r>
        <w:rPr>
          <w:rFonts w:hint="eastAsia"/>
          <w:b/>
          <w:bCs/>
          <w:lang w:val="en-US" w:eastAsia="zh-CN"/>
        </w:rPr>
        <w:t>、机构设置情况</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本部门人员编制数为2人，实际在编人数2人，本部门独立编制预算，经本机财政单独批复，独立公开预算，均在主管单位环江县财政局公开专栏独立公开</w:t>
      </w:r>
    </w:p>
    <w:p>
      <w:pPr>
        <w:pStyle w:val="18"/>
        <w:spacing w:line="623" w:lineRule="exact"/>
        <w:ind w:firstLine="1018" w:firstLineChars="0"/>
        <w:jc w:val="left"/>
        <w:rPr>
          <w:rFonts w:hint="eastAsia"/>
          <w:highlight w:val="none"/>
          <w:lang w:val="en-US" w:eastAsia="zh-CN"/>
        </w:rPr>
      </w:pPr>
    </w:p>
    <w:p>
      <w:pPr>
        <w:pStyle w:val="18"/>
        <w:spacing w:line="623" w:lineRule="exact"/>
        <w:ind w:firstLine="1018" w:firstLineChars="0"/>
        <w:jc w:val="left"/>
        <w:rPr>
          <w:rFonts w:hint="eastAsia"/>
          <w:highlight w:val="none"/>
          <w:lang w:val="en-US" w:eastAsia="zh-CN"/>
        </w:rPr>
      </w:pPr>
    </w:p>
    <w:p>
      <w:r>
        <w:br w:type="page"/>
      </w:r>
    </w:p>
    <w:p>
      <w:pPr>
        <w:pStyle w:val="12"/>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8"/>
      <w:bookmarkStart w:id="8" w:name="bookmark69"/>
      <w:bookmarkStart w:id="9" w:name="bookmark70"/>
      <w:bookmarkStart w:id="10" w:name="bookmark28"/>
      <w:bookmarkStart w:id="11" w:name="bookmark26"/>
      <w:bookmarkStart w:id="12" w:name="bookmark27"/>
      <w:r>
        <w:rPr>
          <w:b/>
          <w:bCs/>
          <w:sz w:val="40"/>
          <w:szCs w:val="40"/>
        </w:rPr>
        <w:t>第</w:t>
      </w:r>
      <w:r>
        <w:rPr>
          <w:rFonts w:hint="eastAsia"/>
          <w:b/>
          <w:bCs/>
          <w:sz w:val="40"/>
          <w:szCs w:val="40"/>
          <w:lang w:val="en-US" w:eastAsia="zh-CN"/>
        </w:rPr>
        <w:t>二</w:t>
      </w:r>
      <w:r>
        <w:rPr>
          <w:b/>
          <w:bCs/>
          <w:sz w:val="40"/>
          <w:szCs w:val="40"/>
        </w:rPr>
        <w:t>部分</w:t>
      </w:r>
      <w:r>
        <w:rPr>
          <w:rFonts w:hint="eastAsia"/>
          <w:b/>
          <w:bCs/>
          <w:sz w:val="40"/>
          <w:szCs w:val="40"/>
          <w:lang w:eastAsia="zh-CN"/>
        </w:rPr>
        <w:t>：</w:t>
      </w:r>
      <w:bookmarkEnd w:id="7"/>
      <w:bookmarkEnd w:id="8"/>
      <w:bookmarkEnd w:id="9"/>
      <w:r>
        <w:rPr>
          <w:rFonts w:hint="eastAsia"/>
          <w:b/>
          <w:bCs/>
          <w:sz w:val="40"/>
          <w:szCs w:val="40"/>
          <w:lang w:eastAsia="zh-CN"/>
        </w:rPr>
        <w:t>环江毛南族自治县大才乡社会保障服务中心</w:t>
      </w:r>
      <w:r>
        <w:rPr>
          <w:b/>
          <w:sz w:val="40"/>
          <w:u w:color="auto"/>
        </w:rPr>
        <w:t>2024年部门预算情况说明</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一</w:t>
      </w:r>
      <w:bookmarkEnd w:id="13"/>
      <w:r>
        <w:rPr>
          <w:rFonts w:hint="eastAsia"/>
          <w:b/>
          <w:bCs/>
          <w:lang w:val="en-US" w:eastAsia="zh-CN"/>
        </w:rPr>
        <w:t>、部门预算收支总体情况说明</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我部门总收入</w:t>
      </w:r>
      <w:r>
        <w:rPr>
          <w:rFonts w:hint="eastAsia"/>
          <w:sz w:val="28"/>
          <w:szCs w:val="28"/>
          <w:lang w:val="en-US" w:eastAsia="zh-CN"/>
        </w:rPr>
        <w:t>36.55</w:t>
      </w:r>
      <w:r>
        <w:rPr>
          <w:rFonts w:hint="eastAsia"/>
          <w:b w:val="0"/>
          <w:bCs w:val="0"/>
          <w:sz w:val="28"/>
          <w:szCs w:val="28"/>
        </w:rPr>
        <w:t>万元，总支出</w:t>
      </w:r>
      <w:r>
        <w:rPr>
          <w:rFonts w:hint="eastAsia"/>
          <w:sz w:val="28"/>
          <w:szCs w:val="28"/>
          <w:lang w:val="en-US" w:eastAsia="zh-CN"/>
        </w:rPr>
        <w:t>36.55</w:t>
      </w:r>
      <w:r>
        <w:rPr>
          <w:rFonts w:hint="eastAsia"/>
          <w:b w:val="0"/>
          <w:bCs w:val="0"/>
          <w:sz w:val="28"/>
          <w:szCs w:val="28"/>
        </w:rPr>
        <w:t>万元。总收入较2023年度预算数</w:t>
      </w:r>
      <w:r>
        <w:rPr>
          <w:rFonts w:hint="eastAsia"/>
          <w:sz w:val="28"/>
          <w:szCs w:val="28"/>
          <w:lang w:val="en-US" w:eastAsia="zh-CN"/>
        </w:rPr>
        <w:t>34.58</w:t>
      </w:r>
      <w:r>
        <w:rPr>
          <w:rFonts w:hint="eastAsia"/>
          <w:b w:val="0"/>
          <w:bCs w:val="0"/>
          <w:sz w:val="28"/>
          <w:szCs w:val="28"/>
        </w:rPr>
        <w:t>万元，</w:t>
      </w:r>
      <w:r>
        <w:rPr>
          <w:rFonts w:hint="eastAsia"/>
          <w:sz w:val="28"/>
          <w:szCs w:val="28"/>
        </w:rPr>
        <w:t>增加1.97</w:t>
      </w:r>
      <w:r>
        <w:rPr>
          <w:rFonts w:hint="eastAsia"/>
          <w:b w:val="0"/>
          <w:bCs w:val="0"/>
          <w:sz w:val="28"/>
          <w:szCs w:val="28"/>
        </w:rPr>
        <w:t>万元，</w:t>
      </w:r>
      <w:r>
        <w:rPr>
          <w:rFonts w:hint="eastAsia"/>
          <w:sz w:val="28"/>
          <w:szCs w:val="28"/>
        </w:rPr>
        <w:t>增长5.70%</w:t>
      </w:r>
      <w:r>
        <w:rPr>
          <w:rFonts w:hint="eastAsia"/>
          <w:b w:val="0"/>
          <w:bCs w:val="0"/>
          <w:sz w:val="28"/>
          <w:szCs w:val="28"/>
        </w:rPr>
        <w:t>，主要原因是</w:t>
      </w:r>
      <w:r>
        <w:rPr>
          <w:rFonts w:hint="eastAsia"/>
          <w:highlight w:val="none"/>
          <w:lang w:val="en-US" w:eastAsia="zh-CN"/>
        </w:rPr>
        <w:t>人员工资福利和经费支出增加，增加基础性绩效工资增量</w:t>
      </w:r>
      <w:r>
        <w:rPr>
          <w:rFonts w:hint="eastAsia"/>
          <w:b w:val="0"/>
          <w:bCs w:val="0"/>
          <w:sz w:val="28"/>
          <w:szCs w:val="28"/>
        </w:rPr>
        <w:t>。总支出较2023年度预算数</w:t>
      </w:r>
      <w:r>
        <w:rPr>
          <w:rFonts w:hint="eastAsia"/>
          <w:sz w:val="28"/>
          <w:szCs w:val="28"/>
          <w:lang w:val="en-US" w:eastAsia="zh-CN"/>
        </w:rPr>
        <w:t>34.58</w:t>
      </w:r>
      <w:r>
        <w:rPr>
          <w:rFonts w:hint="eastAsia"/>
          <w:b w:val="0"/>
          <w:bCs w:val="0"/>
          <w:sz w:val="28"/>
          <w:szCs w:val="28"/>
        </w:rPr>
        <w:t>万元，</w:t>
      </w:r>
      <w:r>
        <w:rPr>
          <w:rFonts w:hint="eastAsia"/>
          <w:sz w:val="28"/>
          <w:szCs w:val="28"/>
        </w:rPr>
        <w:t>增加1.97</w:t>
      </w:r>
      <w:r>
        <w:rPr>
          <w:rFonts w:hint="eastAsia"/>
          <w:b w:val="0"/>
          <w:bCs w:val="0"/>
          <w:sz w:val="28"/>
          <w:szCs w:val="28"/>
        </w:rPr>
        <w:t>万元，</w:t>
      </w:r>
      <w:r>
        <w:rPr>
          <w:rFonts w:hint="eastAsia"/>
          <w:sz w:val="28"/>
          <w:szCs w:val="28"/>
        </w:rPr>
        <w:t>增长5.70%</w:t>
      </w:r>
      <w:r>
        <w:rPr>
          <w:rFonts w:hint="eastAsia"/>
          <w:b w:val="0"/>
          <w:bCs w:val="0"/>
          <w:sz w:val="28"/>
          <w:szCs w:val="28"/>
        </w:rPr>
        <w:t>，主要原因是</w:t>
      </w:r>
      <w:r>
        <w:rPr>
          <w:rFonts w:hint="eastAsia"/>
          <w:highlight w:val="none"/>
          <w:lang w:val="en-US" w:eastAsia="zh-CN"/>
        </w:rPr>
        <w:t>人员工资福利和经费支出增加，增加基础性绩效工资增量</w:t>
      </w:r>
      <w:r>
        <w:rPr>
          <w:rFonts w:hint="eastAsia"/>
          <w:b w:val="0"/>
          <w:bCs w:val="0"/>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二、部门收入总体情况说明</w:t>
      </w:r>
    </w:p>
    <w:p>
      <w:pPr>
        <w:pStyle w:val="18"/>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348"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u w:color="auto"/>
          <w:lang w:eastAsia="zh-CN"/>
        </w:rPr>
        <w:t>2024</w:t>
      </w:r>
      <w:r>
        <w:rPr>
          <w:rFonts w:hint="eastAsia" w:ascii="宋体" w:hAnsi="宋体" w:eastAsia="宋体" w:cs="宋体"/>
          <w:sz w:val="28"/>
          <w:szCs w:val="28"/>
          <w:u w:color="auto"/>
        </w:rPr>
        <w:t>年我部门总收入</w:t>
      </w:r>
      <w:r>
        <w:rPr>
          <w:rFonts w:hint="eastAsia" w:ascii="宋体" w:hAnsi="宋体" w:eastAsia="宋体" w:cs="宋体"/>
          <w:sz w:val="28"/>
          <w:szCs w:val="28"/>
          <w:lang w:val="en-US" w:eastAsia="zh-CN"/>
        </w:rPr>
        <w:t>36.55</w:t>
      </w:r>
      <w:r>
        <w:rPr>
          <w:rFonts w:hint="eastAsia" w:ascii="宋体" w:hAnsi="宋体" w:eastAsia="宋体" w:cs="宋体"/>
          <w:sz w:val="28"/>
          <w:szCs w:val="28"/>
          <w:u w:color="auto"/>
        </w:rPr>
        <w:t>万元，较2023年度预算数</w:t>
      </w:r>
      <w:r>
        <w:rPr>
          <w:rFonts w:hint="eastAsia" w:ascii="宋体" w:hAnsi="宋体" w:eastAsia="宋体" w:cs="宋体"/>
          <w:sz w:val="28"/>
          <w:szCs w:val="28"/>
          <w:lang w:val="en-US" w:eastAsia="zh-CN"/>
        </w:rPr>
        <w:t>34.58</w:t>
      </w:r>
      <w:r>
        <w:rPr>
          <w:rFonts w:hint="eastAsia" w:ascii="宋体" w:hAnsi="宋体" w:eastAsia="宋体" w:cs="宋体"/>
          <w:sz w:val="28"/>
          <w:szCs w:val="28"/>
          <w:u w:color="auto"/>
        </w:rPr>
        <w:t>万元，</w:t>
      </w:r>
      <w:r>
        <w:rPr>
          <w:rFonts w:hint="eastAsia" w:ascii="宋体" w:hAnsi="宋体" w:eastAsia="宋体" w:cs="宋体"/>
          <w:sz w:val="28"/>
          <w:szCs w:val="28"/>
        </w:rPr>
        <w:t>增加1.97</w:t>
      </w:r>
      <w:r>
        <w:rPr>
          <w:rFonts w:hint="eastAsia" w:ascii="宋体" w:hAnsi="宋体" w:eastAsia="宋体" w:cs="宋体"/>
          <w:sz w:val="28"/>
          <w:szCs w:val="28"/>
          <w:u w:color="auto"/>
        </w:rPr>
        <w:t>万元，</w:t>
      </w:r>
      <w:r>
        <w:rPr>
          <w:rFonts w:hint="eastAsia" w:ascii="宋体" w:hAnsi="宋体" w:eastAsia="宋体" w:cs="宋体"/>
          <w:sz w:val="28"/>
          <w:szCs w:val="28"/>
        </w:rPr>
        <w:t>增长5.70%</w:t>
      </w:r>
      <w:r>
        <w:rPr>
          <w:rFonts w:hint="eastAsia" w:ascii="宋体" w:hAnsi="宋体" w:eastAsia="宋体" w:cs="宋体"/>
          <w:sz w:val="28"/>
          <w:szCs w:val="28"/>
          <w:u w:color="auto"/>
        </w:rPr>
        <w:t>，主要原因是</w:t>
      </w:r>
      <w:r>
        <w:rPr>
          <w:rFonts w:hint="eastAsia"/>
          <w:highlight w:val="none"/>
          <w:lang w:val="en-US" w:eastAsia="zh-CN"/>
        </w:rPr>
        <w:t>人员工资福利和经费支出增加，增加基础性绩效工资增量</w:t>
      </w:r>
      <w:r>
        <w:rPr>
          <w:rFonts w:hint="eastAsia" w:ascii="宋体" w:hAnsi="宋体" w:eastAsia="宋体" w:cs="宋体"/>
          <w:sz w:val="28"/>
          <w:szCs w:val="28"/>
          <w:u w:color="auto"/>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三、部门支出总体情况说明</w:t>
      </w:r>
    </w:p>
    <w:p>
      <w:pPr>
        <w:pStyle w:val="18"/>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drawing>
          <wp:inline distT="0" distB="0" distL="114300" distR="114300">
            <wp:extent cx="5080000" cy="3810000"/>
            <wp:effectExtent l="4445" t="4445" r="20955" b="14605"/>
            <wp:docPr id="349"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Times New Roman" w:hAnsi="Times New Roman" w:cs="Times New Roman"/>
          <w:sz w:val="30"/>
          <w:szCs w:val="30"/>
          <w:lang w:eastAsia="zh-CN"/>
        </w:rPr>
      </w:pPr>
      <w:r>
        <w:rPr>
          <w:rFonts w:hint="eastAsia" w:ascii="宋体" w:hAnsi="宋体" w:eastAsia="宋体" w:cs="宋体"/>
          <w:sz w:val="28"/>
          <w:szCs w:val="28"/>
          <w:lang w:eastAsia="zh-CN"/>
        </w:rPr>
        <w:t>2024</w:t>
      </w:r>
      <w:r>
        <w:rPr>
          <w:rFonts w:ascii="宋体" w:hAnsi="宋体" w:eastAsia="宋体" w:cs="宋体"/>
          <w:sz w:val="28"/>
          <w:u w:color="auto"/>
        </w:rPr>
        <w:t>年我部门总支出</w:t>
      </w:r>
      <w:r>
        <w:rPr>
          <w:rFonts w:hint="eastAsia" w:ascii="宋体" w:hAnsi="宋体" w:eastAsia="宋体" w:cs="宋体"/>
          <w:sz w:val="28"/>
          <w:szCs w:val="28"/>
          <w:lang w:val="en-US" w:eastAsia="zh-CN"/>
        </w:rPr>
        <w:t>36.55</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34.58</w:t>
      </w:r>
      <w:r>
        <w:rPr>
          <w:rFonts w:hint="eastAsia" w:ascii="宋体" w:hAnsi="宋体" w:eastAsia="宋体" w:cs="宋体"/>
          <w:sz w:val="28"/>
          <w:szCs w:val="28"/>
          <w:lang w:eastAsia="zh-CN"/>
        </w:rPr>
        <w:t>万元，</w:t>
      </w:r>
      <w:r>
        <w:rPr>
          <w:rFonts w:hint="eastAsia" w:ascii="宋体" w:hAnsi="宋体" w:eastAsia="宋体" w:cs="宋体"/>
          <w:sz w:val="28"/>
          <w:szCs w:val="28"/>
        </w:rPr>
        <w:t>增加1.97</w:t>
      </w:r>
      <w:r>
        <w:rPr>
          <w:rFonts w:hint="eastAsia" w:ascii="宋体" w:hAnsi="宋体" w:eastAsia="宋体" w:cs="宋体"/>
          <w:sz w:val="28"/>
          <w:szCs w:val="28"/>
          <w:lang w:eastAsia="zh-CN"/>
        </w:rPr>
        <w:t>万元，</w:t>
      </w:r>
      <w:r>
        <w:rPr>
          <w:rFonts w:hint="eastAsia" w:ascii="宋体" w:hAnsi="宋体" w:eastAsia="宋体" w:cs="宋体"/>
          <w:sz w:val="28"/>
          <w:szCs w:val="28"/>
        </w:rPr>
        <w:t>增长5.70%</w:t>
      </w:r>
      <w:r>
        <w:rPr>
          <w:rFonts w:hint="eastAsia" w:ascii="宋体" w:hAnsi="宋体" w:eastAsia="宋体" w:cs="宋体"/>
          <w:sz w:val="28"/>
          <w:szCs w:val="28"/>
          <w:lang w:eastAsia="zh-CN"/>
        </w:rPr>
        <w:t>，主要原因是</w:t>
      </w:r>
      <w:r>
        <w:rPr>
          <w:rFonts w:hint="eastAsia"/>
          <w:highlight w:val="none"/>
          <w:lang w:val="en-US" w:eastAsia="zh-CN"/>
        </w:rPr>
        <w:t>人员工资福利和经费支出增加，增加基础性绩效工资增量</w:t>
      </w:r>
      <w:r>
        <w:rPr>
          <w:rFonts w:hint="eastAsia" w:ascii="Times New Roman" w:hAnsi="Times New Roman" w:cs="Times New Roman"/>
          <w:sz w:val="30"/>
          <w:szCs w:val="30"/>
          <w:lang w:eastAsia="zh-CN"/>
        </w:rPr>
        <w:t>。主要包括：</w:t>
      </w:r>
      <w:r>
        <w:rPr>
          <w:rFonts w:hint="eastAsia"/>
          <w:highlight w:val="none"/>
          <w:lang w:val="en-US" w:eastAsia="zh-CN"/>
        </w:rPr>
        <w:t>人员工资福利和经费支出增加，增加基础性绩效工资增量</w:t>
      </w:r>
      <w:r>
        <w:rPr>
          <w:rFonts w:hint="eastAsia" w:ascii="Times New Roman" w:hAnsi="Times New Roman" w:cs="Times New Roman"/>
          <w:sz w:val="30"/>
          <w:szCs w:val="30"/>
          <w:lang w:eastAsia="zh-CN"/>
        </w:rPr>
        <w:t>。</w:t>
      </w:r>
    </w:p>
    <w:p>
      <w:pPr>
        <w:pStyle w:val="18"/>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pPr>
      <w:r>
        <w:t>（一）按支出功能分类科目划分，共分为</w:t>
      </w:r>
      <w:r>
        <w:rPr>
          <w:rFonts w:hint="eastAsia"/>
          <w:lang w:val="en-US" w:eastAsia="zh-CN"/>
        </w:rPr>
        <w:t>3</w:t>
      </w:r>
      <w:r>
        <w:t>类，其中:</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rPr>
      </w:pPr>
      <w:r>
        <w:rPr>
          <w:rFonts w:hint="eastAsia"/>
        </w:rPr>
        <w:t>(</w:t>
      </w:r>
      <w:r>
        <w:rPr>
          <w:u w:color="auto"/>
        </w:rPr>
        <w:t>1)社会保障和就业支出</w:t>
      </w:r>
      <w:r>
        <w:rPr>
          <w:rFonts w:hint="eastAsia"/>
          <w:lang w:val="en-US" w:eastAsia="zh-CN"/>
        </w:rPr>
        <w:t>32.44</w:t>
      </w:r>
      <w:r>
        <w:rPr>
          <w:rFonts w:hint="eastAsia"/>
        </w:rPr>
        <w:t>万元，占支出总预算</w:t>
      </w:r>
      <w:r>
        <w:rPr>
          <w:rFonts w:hint="eastAsia"/>
          <w:lang w:val="en-US" w:eastAsia="zh-CN"/>
        </w:rPr>
        <w:t>88.76%</w:t>
      </w:r>
      <w:r>
        <w:rPr>
          <w:rFonts w:hint="eastAsia"/>
        </w:rPr>
        <w:t>,比上年</w:t>
      </w:r>
      <w:r>
        <w:rPr>
          <w:rFonts w:hint="eastAsia"/>
          <w:lang w:val="en-US" w:eastAsia="zh-CN"/>
        </w:rPr>
        <w:t>增长1.78</w:t>
      </w:r>
      <w:r>
        <w:rPr>
          <w:rFonts w:hint="eastAsia"/>
        </w:rPr>
        <w:t>万元，</w:t>
      </w:r>
      <w:r>
        <w:rPr>
          <w:rFonts w:hint="eastAsia"/>
          <w:lang w:val="en-US" w:eastAsia="zh-CN"/>
        </w:rPr>
        <w:t>增长5.81%</w:t>
      </w:r>
      <w:r>
        <w:rPr>
          <w:rFonts w:hint="eastAsia"/>
        </w:rPr>
        <w:t>,</w:t>
      </w:r>
      <w:r>
        <w:rPr>
          <w:rFonts w:hint="eastAsia"/>
          <w:highlight w:val="none"/>
        </w:rPr>
        <w:t>主要原因是：</w:t>
      </w:r>
      <w:r>
        <w:rPr>
          <w:rFonts w:hint="eastAsia"/>
          <w:highlight w:val="none"/>
          <w:lang w:val="en-US" w:eastAsia="zh-CN"/>
        </w:rPr>
        <w:t>人员工资福利和经费支出增加，增加基础性绩效工资增量</w:t>
      </w:r>
      <w:r>
        <w:rPr>
          <w:rFonts w:hint="eastAsia"/>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rPr>
      </w:pPr>
      <w:r>
        <w:rPr>
          <w:rFonts w:hint="eastAsia"/>
        </w:rPr>
        <w:t>(</w:t>
      </w:r>
      <w:r>
        <w:rPr>
          <w:u w:color="auto"/>
        </w:rPr>
        <w:t>2)一般公共服务支出</w:t>
      </w:r>
      <w:r>
        <w:rPr>
          <w:rFonts w:hint="eastAsia"/>
          <w:lang w:val="en-US" w:eastAsia="zh-CN"/>
        </w:rPr>
        <w:t>0.36</w:t>
      </w:r>
      <w:r>
        <w:rPr>
          <w:rFonts w:hint="eastAsia"/>
        </w:rPr>
        <w:t>万元，占支出总预算</w:t>
      </w:r>
      <w:r>
        <w:rPr>
          <w:rFonts w:hint="eastAsia"/>
          <w:lang w:val="en-US" w:eastAsia="zh-CN"/>
        </w:rPr>
        <w:t>0.98%</w:t>
      </w:r>
      <w:r>
        <w:rPr>
          <w:rFonts w:hint="eastAsia"/>
        </w:rPr>
        <w:t>,比上年</w:t>
      </w:r>
      <w:r>
        <w:rPr>
          <w:rFonts w:hint="eastAsia"/>
          <w:lang w:val="en-US" w:eastAsia="zh-CN"/>
        </w:rPr>
        <w:t>减少0.20</w:t>
      </w:r>
      <w:r>
        <w:rPr>
          <w:rFonts w:hint="eastAsia"/>
        </w:rPr>
        <w:t>万元，</w:t>
      </w:r>
      <w:r>
        <w:rPr>
          <w:rFonts w:hint="eastAsia"/>
          <w:lang w:val="en-US" w:eastAsia="zh-CN"/>
        </w:rPr>
        <w:t>减少35.71%</w:t>
      </w:r>
      <w:r>
        <w:rPr>
          <w:rFonts w:hint="eastAsia"/>
        </w:rPr>
        <w:t>,</w:t>
      </w:r>
      <w:r>
        <w:rPr>
          <w:rFonts w:hint="eastAsia"/>
          <w:highlight w:val="none"/>
        </w:rPr>
        <w:t>主要原因是：</w:t>
      </w:r>
      <w:r>
        <w:rPr>
          <w:rFonts w:hint="eastAsia"/>
          <w:highlight w:val="none"/>
          <w:lang w:val="en-US" w:eastAsia="zh-CN"/>
        </w:rPr>
        <w:t>践行中央过紧日子的文件精神，缩减经费开支</w:t>
      </w:r>
      <w:r>
        <w:rPr>
          <w:rFonts w:hint="eastAsia"/>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rPr>
      </w:pPr>
      <w:r>
        <w:rPr>
          <w:rFonts w:hint="eastAsia"/>
        </w:rPr>
        <w:t>(</w:t>
      </w:r>
      <w:r>
        <w:rPr>
          <w:u w:color="auto"/>
        </w:rPr>
        <w:t>3)住房保障支出</w:t>
      </w:r>
      <w:r>
        <w:rPr>
          <w:rFonts w:hint="eastAsia"/>
          <w:lang w:val="en-US" w:eastAsia="zh-CN"/>
        </w:rPr>
        <w:t>3.76</w:t>
      </w:r>
      <w:r>
        <w:rPr>
          <w:rFonts w:hint="eastAsia"/>
        </w:rPr>
        <w:t>万元，占支出总预算</w:t>
      </w:r>
      <w:r>
        <w:rPr>
          <w:rFonts w:hint="eastAsia"/>
          <w:lang w:val="en-US" w:eastAsia="zh-CN"/>
        </w:rPr>
        <w:t>10.29%</w:t>
      </w:r>
      <w:r>
        <w:rPr>
          <w:rFonts w:hint="eastAsia"/>
        </w:rPr>
        <w:t>,比上年</w:t>
      </w:r>
      <w:r>
        <w:rPr>
          <w:rFonts w:hint="eastAsia"/>
          <w:lang w:val="en-US" w:eastAsia="zh-CN"/>
        </w:rPr>
        <w:t>增长0.40</w:t>
      </w:r>
      <w:r>
        <w:rPr>
          <w:rFonts w:hint="eastAsia"/>
        </w:rPr>
        <w:t>万元，</w:t>
      </w:r>
      <w:r>
        <w:rPr>
          <w:rFonts w:hint="eastAsia"/>
          <w:lang w:val="en-US" w:eastAsia="zh-CN"/>
        </w:rPr>
        <w:t>增长11.90%</w:t>
      </w:r>
      <w:r>
        <w:rPr>
          <w:rFonts w:hint="eastAsia"/>
        </w:rPr>
        <w:t>,</w:t>
      </w:r>
      <w:r>
        <w:rPr>
          <w:rFonts w:hint="eastAsia"/>
          <w:highlight w:val="none"/>
        </w:rPr>
        <w:t>主要原因是：</w:t>
      </w:r>
      <w:r>
        <w:rPr>
          <w:rFonts w:hint="eastAsia"/>
          <w:highlight w:val="none"/>
          <w:lang w:val="en-US" w:eastAsia="zh-CN"/>
        </w:rPr>
        <w:t>人员工资福利和经费支出增加，增加基础性绩效工资增量</w:t>
      </w:r>
      <w:r>
        <w:rPr>
          <w:rFonts w:hint="eastAsia"/>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pPr>
      <w:r>
        <w:t>(二)按支出结构分类划分，分为基本支出预算和项目支出预算。</w:t>
      </w:r>
    </w:p>
    <w:p>
      <w:pPr>
        <w:pStyle w:val="18"/>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pPr>
      <w:r>
        <w:t>基本支出预算。</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基本支出预算</w:t>
      </w:r>
      <w:r>
        <w:rPr>
          <w:rFonts w:hint="eastAsia"/>
          <w:lang w:val="en-US" w:eastAsia="zh-CN"/>
        </w:rPr>
        <w:t>36.55</w:t>
      </w:r>
      <w:r>
        <w:rPr>
          <w:rFonts w:hint="eastAsia"/>
        </w:rPr>
        <w:t>万元，占支出预算</w:t>
      </w:r>
      <w:r>
        <w:rPr>
          <w:u w:color="auto"/>
        </w:rPr>
        <w:t>100.00%,比上年增长1.97万元，增长5.70%</w:t>
      </w:r>
      <w:r>
        <w:t>。</w:t>
      </w:r>
      <w:r>
        <w:rPr>
          <w:rFonts w:hint="eastAsia"/>
          <w:lang w:val="en-US" w:eastAsia="zh-CN"/>
        </w:rPr>
        <w:t>其中：</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1)工资福利支出</w:t>
      </w:r>
      <w:r>
        <w:rPr>
          <w:rFonts w:hint="eastAsia" w:ascii="宋体" w:hAnsi="宋体" w:eastAsia="宋体" w:cs="宋体"/>
          <w:sz w:val="28"/>
          <w:szCs w:val="28"/>
          <w:lang w:val="en-US" w:eastAsia="zh-CN"/>
        </w:rPr>
        <w:t>35.48</w:t>
      </w:r>
      <w:r>
        <w:rPr>
          <w:rFonts w:hint="eastAsia" w:ascii="宋体" w:hAnsi="宋体" w:eastAsia="宋体" w:cs="宋体"/>
          <w:sz w:val="28"/>
          <w:szCs w:val="28"/>
        </w:rPr>
        <w:t>万</w:t>
      </w:r>
      <w:r>
        <w:rPr>
          <w:rFonts w:ascii="宋体" w:hAnsi="宋体" w:eastAsia="宋体" w:cs="宋体"/>
          <w:sz w:val="28"/>
          <w:szCs w:val="28"/>
        </w:rPr>
        <w:t>元，占基本</w:t>
      </w:r>
      <w:r>
        <w:rPr>
          <w:rFonts w:hint="eastAsia" w:ascii="宋体" w:hAnsi="宋体" w:eastAsia="宋体" w:cs="宋体"/>
          <w:sz w:val="28"/>
          <w:szCs w:val="28"/>
        </w:rPr>
        <w:t>支出总预算</w:t>
      </w:r>
      <w:r>
        <w:rPr>
          <w:rFonts w:hint="eastAsia" w:ascii="宋体" w:hAnsi="宋体" w:eastAsia="宋体" w:cs="宋体"/>
          <w:sz w:val="28"/>
          <w:szCs w:val="28"/>
          <w:lang w:val="en-US" w:eastAsia="zh-CN"/>
        </w:rPr>
        <w:t>97.07%</w:t>
      </w:r>
      <w:r>
        <w:rPr>
          <w:rFonts w:hint="eastAsia" w:ascii="宋体" w:hAnsi="宋体" w:eastAsia="宋体" w:cs="宋体"/>
          <w:sz w:val="28"/>
          <w:szCs w:val="28"/>
        </w:rPr>
        <w:t>,比上年</w:t>
      </w:r>
      <w:r>
        <w:rPr>
          <w:rFonts w:ascii="宋体" w:hAnsi="宋体" w:eastAsia="宋体" w:cs="宋体"/>
          <w:sz w:val="28"/>
          <w:u w:color="auto"/>
        </w:rPr>
        <w:t>增长2.18万元，增长6.55%,主要原因是：人员工资福利和经费支出增加，增加基础性绩效工资增量</w:t>
      </w:r>
      <w:r>
        <w:rPr>
          <w:rFonts w:hint="eastAsia" w:ascii="宋体" w:hAnsi="宋体" w:eastAsia="宋体" w:cs="宋体"/>
          <w:sz w:val="28"/>
          <w:szCs w:val="28"/>
          <w:lang w:val="en-US" w:eastAsia="zh-CN"/>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2)商品和服务支出</w:t>
      </w:r>
      <w:r>
        <w:rPr>
          <w:rFonts w:hint="eastAsia" w:ascii="宋体" w:hAnsi="宋体" w:eastAsia="宋体" w:cs="宋体"/>
          <w:sz w:val="28"/>
          <w:szCs w:val="28"/>
          <w:lang w:val="en-US" w:eastAsia="zh-CN"/>
        </w:rPr>
        <w:t>1.08</w:t>
      </w:r>
      <w:r>
        <w:rPr>
          <w:rFonts w:hint="eastAsia" w:ascii="宋体" w:hAnsi="宋体" w:eastAsia="宋体" w:cs="宋体"/>
          <w:sz w:val="28"/>
          <w:szCs w:val="28"/>
        </w:rPr>
        <w:t>万</w:t>
      </w:r>
      <w:r>
        <w:rPr>
          <w:rFonts w:ascii="宋体" w:hAnsi="宋体" w:eastAsia="宋体" w:cs="宋体"/>
          <w:sz w:val="28"/>
          <w:szCs w:val="28"/>
        </w:rPr>
        <w:t>元，占基本</w:t>
      </w:r>
      <w:r>
        <w:rPr>
          <w:rFonts w:hint="eastAsia" w:ascii="宋体" w:hAnsi="宋体" w:eastAsia="宋体" w:cs="宋体"/>
          <w:sz w:val="28"/>
          <w:szCs w:val="28"/>
        </w:rPr>
        <w:t>支出总预算</w:t>
      </w:r>
      <w:r>
        <w:rPr>
          <w:rFonts w:hint="eastAsia" w:ascii="宋体" w:hAnsi="宋体" w:eastAsia="宋体" w:cs="宋体"/>
          <w:sz w:val="28"/>
          <w:szCs w:val="28"/>
          <w:lang w:val="en-US" w:eastAsia="zh-CN"/>
        </w:rPr>
        <w:t>2.95%</w:t>
      </w:r>
      <w:r>
        <w:rPr>
          <w:rFonts w:hint="eastAsia" w:ascii="宋体" w:hAnsi="宋体" w:eastAsia="宋体" w:cs="宋体"/>
          <w:sz w:val="28"/>
          <w:szCs w:val="28"/>
        </w:rPr>
        <w:t>,比上年</w:t>
      </w:r>
      <w:r>
        <w:rPr>
          <w:rFonts w:ascii="宋体" w:hAnsi="宋体" w:eastAsia="宋体" w:cs="宋体"/>
          <w:sz w:val="28"/>
          <w:u w:color="auto"/>
        </w:rPr>
        <w:t>减少0.20万元，减少15.63%,主要原因是：践行中央过紧日子的文件精神，缩减经费开支</w:t>
      </w:r>
      <w:r>
        <w:rPr>
          <w:rFonts w:hint="eastAsia" w:ascii="宋体" w:hAnsi="宋体" w:eastAsia="宋体" w:cs="宋体"/>
          <w:sz w:val="28"/>
          <w:szCs w:val="28"/>
          <w:lang w:val="en-US" w:eastAsia="zh-CN"/>
        </w:rPr>
        <w:t>。</w:t>
      </w:r>
    </w:p>
    <w:p>
      <w:pPr>
        <w:pStyle w:val="18"/>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b w:val="0"/>
          <w:bCs w:val="0"/>
          <w:color w:val="000000"/>
          <w:sz w:val="28"/>
          <w:szCs w:val="28"/>
          <w:lang w:val="zh-TW" w:eastAsia="zh-TW" w:bidi="zh-TW"/>
        </w:rPr>
      </w:pPr>
      <w:r>
        <w:rPr>
          <w:rFonts w:hint="eastAsia" w:ascii="宋体" w:hAnsi="宋体" w:eastAsia="宋体" w:cs="宋体"/>
          <w:b w:val="0"/>
          <w:bCs w:val="0"/>
          <w:color w:val="000000"/>
          <w:sz w:val="28"/>
          <w:szCs w:val="28"/>
          <w:lang w:val="zh-TW" w:eastAsia="zh-TW" w:bidi="zh-TW"/>
        </w:rPr>
        <w:t>项目支出预算。</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项目支出预算</w:t>
      </w:r>
      <w:r>
        <w:rPr>
          <w:rFonts w:hint="eastAsia"/>
          <w:lang w:val="en-US" w:eastAsia="zh-CN"/>
        </w:rPr>
        <w:t>0.00</w:t>
      </w:r>
      <w:r>
        <w:rPr>
          <w:rFonts w:hint="eastAsia"/>
        </w:rPr>
        <w:t>万元，占支出预算</w:t>
      </w:r>
      <w:r>
        <w:rPr>
          <w:u w:color="auto"/>
        </w:rPr>
        <w:t>0.00%</w:t>
      </w:r>
      <w:r>
        <w:rPr>
          <w:rFonts w:hint="eastAsia"/>
        </w:rPr>
        <w:t>,比上年</w:t>
      </w:r>
      <w:r>
        <w:rPr>
          <w:u w:color="auto"/>
        </w:rPr>
        <w:t>增长0.00</w:t>
      </w:r>
      <w:r>
        <w:rPr>
          <w:rFonts w:hint="eastAsia"/>
        </w:rPr>
        <w:t>万元，</w:t>
      </w:r>
      <w:r>
        <w:rPr>
          <w:u w:color="auto"/>
        </w:rPr>
        <w:t>增长0%</w:t>
      </w:r>
      <w:r>
        <w:t>。</w:t>
      </w:r>
    </w:p>
    <w:p>
      <w:pPr>
        <w:pStyle w:val="16"/>
        <w:spacing w:after="0" w:line="619" w:lineRule="exact"/>
        <w:ind w:firstLine="620"/>
        <w:jc w:val="left"/>
        <w:rPr>
          <w:rFonts w:hint="eastAsia"/>
          <w:b/>
          <w:bCs/>
          <w:lang w:val="en-US" w:eastAsia="zh-CN"/>
        </w:rPr>
      </w:pPr>
      <w:r>
        <w:rPr>
          <w:rFonts w:hint="eastAsia"/>
          <w:b/>
          <w:bCs/>
          <w:lang w:val="en-US" w:eastAsia="zh-CN"/>
        </w:rPr>
        <w:t>四、财政拨款收支总体情况说明</w:t>
      </w:r>
    </w:p>
    <w:p>
      <w:pPr>
        <w:pStyle w:val="18"/>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350"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u w:color="auto"/>
        </w:rPr>
        <w:t>年</w:t>
      </w:r>
      <w:r>
        <w:rPr>
          <w:rFonts w:hint="eastAsia" w:ascii="宋体" w:hAnsi="宋体" w:eastAsia="宋体" w:cs="宋体"/>
          <w:sz w:val="28"/>
          <w:szCs w:val="28"/>
        </w:rPr>
        <w:t>财政拨款收入我部门财政拨款总收入</w:t>
      </w:r>
      <w:r>
        <w:rPr>
          <w:rFonts w:hint="eastAsia" w:ascii="宋体" w:hAnsi="宋体" w:eastAsia="宋体" w:cs="宋体"/>
          <w:sz w:val="28"/>
          <w:szCs w:val="28"/>
          <w:lang w:val="en-US" w:eastAsia="zh-CN" w:bidi="en-US"/>
        </w:rPr>
        <w:t>36.55</w:t>
      </w:r>
      <w:r>
        <w:rPr>
          <w:rFonts w:hint="eastAsia" w:ascii="宋体" w:hAnsi="宋体" w:eastAsia="宋体" w:cs="宋体"/>
          <w:sz w:val="28"/>
          <w:szCs w:val="28"/>
        </w:rPr>
        <w:t>万元，总支出</w:t>
      </w:r>
      <w:r>
        <w:rPr>
          <w:rFonts w:hint="eastAsia" w:ascii="宋体" w:hAnsi="宋体" w:eastAsia="宋体" w:cs="宋体"/>
          <w:sz w:val="28"/>
          <w:szCs w:val="28"/>
          <w:lang w:val="en-US" w:eastAsia="zh-CN" w:bidi="en-US"/>
        </w:rPr>
        <w:t>36.55</w:t>
      </w:r>
      <w:r>
        <w:rPr>
          <w:rFonts w:hint="eastAsia" w:ascii="宋体" w:hAnsi="宋体" w:eastAsia="宋体" w:cs="宋体"/>
          <w:sz w:val="28"/>
          <w:szCs w:val="28"/>
        </w:rPr>
        <w:t>万元。财政拨款总收入较2023年度预算数</w:t>
      </w:r>
      <w:r>
        <w:rPr>
          <w:rFonts w:hint="eastAsia" w:ascii="宋体" w:hAnsi="宋体" w:eastAsia="宋体" w:cs="宋体"/>
          <w:sz w:val="28"/>
          <w:szCs w:val="28"/>
          <w:lang w:val="en-US" w:eastAsia="zh-CN" w:bidi="en-US"/>
        </w:rPr>
        <w:t>34.58</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增加1.97</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增长5.70%</w:t>
      </w:r>
      <w:r>
        <w:rPr>
          <w:rFonts w:hint="eastAsia" w:ascii="宋体" w:hAnsi="宋体" w:eastAsia="宋体" w:cs="宋体"/>
          <w:sz w:val="28"/>
          <w:szCs w:val="28"/>
        </w:rPr>
        <w:t>，主要原因是</w:t>
      </w:r>
      <w:r>
        <w:rPr>
          <w:rFonts w:hint="eastAsia"/>
          <w:highlight w:val="none"/>
          <w:lang w:val="en-US" w:eastAsia="zh-CN"/>
        </w:rPr>
        <w:t>人员工资福利和经费支出增加，增加基础性绩效工资增量</w:t>
      </w:r>
      <w:r>
        <w:rPr>
          <w:rFonts w:hint="eastAsia" w:ascii="宋体" w:hAnsi="宋体" w:eastAsia="宋体" w:cs="宋体"/>
          <w:sz w:val="28"/>
          <w:szCs w:val="28"/>
        </w:rPr>
        <w:t>。财政拨款总支出较2023年度预算数</w:t>
      </w:r>
      <w:r>
        <w:rPr>
          <w:rFonts w:hint="eastAsia" w:ascii="宋体" w:hAnsi="宋体" w:eastAsia="宋体" w:cs="宋体"/>
          <w:sz w:val="28"/>
          <w:szCs w:val="28"/>
          <w:lang w:val="en-US" w:eastAsia="zh-CN" w:bidi="en-US"/>
        </w:rPr>
        <w:t>34.58</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增加1.97</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增长5.70%</w:t>
      </w:r>
      <w:r>
        <w:rPr>
          <w:rFonts w:hint="eastAsia" w:ascii="宋体" w:hAnsi="宋体" w:eastAsia="宋体" w:cs="宋体"/>
          <w:sz w:val="28"/>
          <w:szCs w:val="28"/>
        </w:rPr>
        <w:t>，主要原因是</w:t>
      </w:r>
      <w:r>
        <w:rPr>
          <w:rFonts w:hint="eastAsia"/>
          <w:highlight w:val="none"/>
          <w:lang w:val="en-US" w:eastAsia="zh-CN"/>
        </w:rPr>
        <w:t>人员工资福利和经费支出增加，增加基础性绩效工资增量</w:t>
      </w:r>
      <w:r>
        <w:rPr>
          <w:rFonts w:hint="eastAsia" w:ascii="宋体" w:hAnsi="宋体" w:eastAsia="宋体" w:cs="宋体"/>
          <w:sz w:val="28"/>
          <w:szCs w:val="28"/>
        </w:rPr>
        <w:t>。</w:t>
      </w:r>
    </w:p>
    <w:p>
      <w:pPr>
        <w:pStyle w:val="16"/>
        <w:spacing w:after="0" w:line="619" w:lineRule="exact"/>
        <w:ind w:firstLine="620"/>
        <w:jc w:val="left"/>
        <w:rPr>
          <w:rFonts w:hint="eastAsia"/>
          <w:b/>
          <w:bCs/>
          <w:lang w:val="en-US" w:eastAsia="zh-CN"/>
        </w:rPr>
      </w:pPr>
      <w:r>
        <w:rPr>
          <w:rFonts w:hint="eastAsia"/>
          <w:b/>
          <w:bCs/>
          <w:lang w:val="en-US" w:eastAsia="zh-CN"/>
        </w:rPr>
        <w:t>五、一般公共预算支出情况说明</w:t>
      </w:r>
    </w:p>
    <w:p>
      <w:pPr>
        <w:pStyle w:val="18"/>
        <w:spacing w:line="240" w:lineRule="auto"/>
        <w:ind w:firstLine="0"/>
        <w:jc w:val="left"/>
        <w:rPr>
          <w:lang w:eastAsia="zh-CN"/>
        </w:rPr>
      </w:pPr>
      <w:r>
        <w:rPr>
          <w:lang w:eastAsia="zh-CN"/>
        </w:rPr>
        <w:drawing>
          <wp:inline distT="0" distB="0" distL="114300" distR="114300">
            <wp:extent cx="5080000" cy="3810000"/>
            <wp:effectExtent l="4445" t="4445" r="20955" b="14605"/>
            <wp:docPr id="351"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rPr>
        <w:t>一般公共预算支出共</w:t>
      </w:r>
      <w:r>
        <w:rPr>
          <w:rFonts w:hint="eastAsia" w:ascii="宋体" w:hAnsi="宋体" w:eastAsia="宋体" w:cs="宋体"/>
          <w:sz w:val="28"/>
          <w:szCs w:val="28"/>
          <w:lang w:val="en-US" w:eastAsia="zh-CN"/>
        </w:rPr>
        <w:t>36.55</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34.58</w:t>
      </w:r>
      <w:r>
        <w:rPr>
          <w:rFonts w:hint="eastAsia" w:ascii="宋体" w:hAnsi="宋体" w:eastAsia="宋体" w:cs="宋体"/>
          <w:sz w:val="28"/>
          <w:szCs w:val="28"/>
        </w:rPr>
        <w:t>万元，</w:t>
      </w:r>
      <w:r>
        <w:rPr>
          <w:rFonts w:hint="eastAsia" w:ascii="宋体" w:hAnsi="宋体" w:eastAsia="宋体" w:cs="宋体"/>
          <w:sz w:val="28"/>
          <w:szCs w:val="28"/>
          <w:lang w:val="en-US" w:eastAsia="zh-CN"/>
        </w:rPr>
        <w:t>增加1.97</w:t>
      </w:r>
      <w:r>
        <w:rPr>
          <w:rFonts w:hint="eastAsia" w:ascii="宋体" w:hAnsi="宋体" w:eastAsia="宋体" w:cs="宋体"/>
          <w:sz w:val="28"/>
          <w:szCs w:val="28"/>
        </w:rPr>
        <w:t>万元，</w:t>
      </w:r>
      <w:r>
        <w:rPr>
          <w:rFonts w:hint="eastAsia" w:ascii="宋体" w:hAnsi="宋体" w:eastAsia="宋体" w:cs="宋体"/>
          <w:sz w:val="28"/>
          <w:szCs w:val="28"/>
          <w:lang w:val="en-US" w:eastAsia="zh-CN"/>
        </w:rPr>
        <w:t>增长5.70%</w:t>
      </w:r>
      <w:r>
        <w:rPr>
          <w:rFonts w:hint="eastAsia" w:ascii="宋体" w:hAnsi="宋体" w:eastAsia="宋体" w:cs="宋体"/>
          <w:sz w:val="28"/>
          <w:szCs w:val="28"/>
        </w:rPr>
        <w:t>，主要原因是</w:t>
      </w:r>
      <w:r>
        <w:rPr>
          <w:rFonts w:hint="eastAsia"/>
          <w:highlight w:val="none"/>
          <w:lang w:val="en-US" w:eastAsia="zh-CN"/>
        </w:rPr>
        <w:t>人员工资福利和经费支出增加，增加基础性绩效工资增量</w:t>
      </w:r>
      <w:r>
        <w:rPr>
          <w:rFonts w:hint="eastAsia" w:ascii="宋体" w:hAnsi="宋体" w:eastAsia="宋体" w:cs="宋体"/>
          <w:sz w:val="28"/>
          <w:szCs w:val="28"/>
        </w:rPr>
        <w:t>。中央提前下达2024年一般公共预算转移支付资金安排的支出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万元。具体情况为：</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一般公共服务支出（类）支出</w:t>
      </w:r>
      <w:r>
        <w:rPr>
          <w:rFonts w:ascii="宋体" w:hAnsi="宋体" w:eastAsia="宋体" w:cs="宋体"/>
          <w:sz w:val="28"/>
          <w:u w:color="auto"/>
        </w:rPr>
        <w:t>0.36</w:t>
      </w:r>
      <w:r>
        <w:rPr>
          <w:rFonts w:hint="eastAsia" w:ascii="宋体" w:hAnsi="宋体" w:eastAsia="宋体" w:cs="宋体"/>
          <w:sz w:val="28"/>
          <w:szCs w:val="28"/>
        </w:rPr>
        <w:t>万元，占支出总预算的</w:t>
      </w:r>
      <w:r>
        <w:rPr>
          <w:rFonts w:ascii="宋体" w:hAnsi="宋体" w:eastAsia="宋体" w:cs="宋体"/>
          <w:sz w:val="28"/>
          <w:u w:color="auto"/>
        </w:rPr>
        <w:t>0.98%</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0.56</w:t>
      </w:r>
      <w:r>
        <w:rPr>
          <w:rFonts w:hint="eastAsia" w:ascii="宋体" w:hAnsi="宋体" w:eastAsia="宋体" w:cs="宋体"/>
          <w:sz w:val="28"/>
          <w:szCs w:val="28"/>
        </w:rPr>
        <w:t>万元，</w:t>
      </w:r>
      <w:r>
        <w:rPr>
          <w:rFonts w:ascii="宋体" w:hAnsi="宋体" w:eastAsia="宋体" w:cs="宋体"/>
          <w:sz w:val="28"/>
          <w:u w:color="auto"/>
        </w:rPr>
        <w:t>减少0.20</w:t>
      </w:r>
      <w:r>
        <w:rPr>
          <w:rFonts w:hint="eastAsia" w:ascii="宋体" w:hAnsi="宋体" w:eastAsia="宋体" w:cs="宋体"/>
          <w:sz w:val="28"/>
          <w:szCs w:val="28"/>
        </w:rPr>
        <w:t>万元，</w:t>
      </w:r>
      <w:r>
        <w:rPr>
          <w:rFonts w:ascii="宋体" w:hAnsi="宋体" w:eastAsia="宋体" w:cs="宋体"/>
          <w:sz w:val="28"/>
          <w:u w:color="auto"/>
        </w:rPr>
        <w:t>减少35.71%</w:t>
      </w:r>
      <w:r>
        <w:rPr>
          <w:rFonts w:hint="eastAsia" w:ascii="宋体" w:hAnsi="宋体" w:eastAsia="宋体" w:cs="宋体"/>
          <w:sz w:val="28"/>
          <w:szCs w:val="28"/>
        </w:rPr>
        <w:t>，主要原因是：</w:t>
      </w:r>
      <w:r>
        <w:rPr>
          <w:rFonts w:hint="eastAsia"/>
          <w:highlight w:val="none"/>
        </w:rPr>
        <w:t>践行中央过紧日子的文件精神，缩减经费开支</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住房保障支出（类）支出</w:t>
      </w:r>
      <w:r>
        <w:rPr>
          <w:rFonts w:ascii="宋体" w:hAnsi="宋体" w:eastAsia="宋体" w:cs="宋体"/>
          <w:sz w:val="28"/>
          <w:u w:color="auto"/>
        </w:rPr>
        <w:t>3.76</w:t>
      </w:r>
      <w:r>
        <w:rPr>
          <w:rFonts w:hint="eastAsia" w:ascii="宋体" w:hAnsi="宋体" w:eastAsia="宋体" w:cs="宋体"/>
          <w:sz w:val="28"/>
          <w:szCs w:val="28"/>
        </w:rPr>
        <w:t>万元，占支出总预算的</w:t>
      </w:r>
      <w:r>
        <w:rPr>
          <w:rFonts w:ascii="宋体" w:hAnsi="宋体" w:eastAsia="宋体" w:cs="宋体"/>
          <w:sz w:val="28"/>
          <w:u w:color="auto"/>
        </w:rPr>
        <w:t>10.29%</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3.36</w:t>
      </w:r>
      <w:r>
        <w:rPr>
          <w:rFonts w:hint="eastAsia" w:ascii="宋体" w:hAnsi="宋体" w:eastAsia="宋体" w:cs="宋体"/>
          <w:sz w:val="28"/>
          <w:szCs w:val="28"/>
        </w:rPr>
        <w:t>万元，</w:t>
      </w:r>
      <w:r>
        <w:rPr>
          <w:rFonts w:ascii="宋体" w:hAnsi="宋体" w:eastAsia="宋体" w:cs="宋体"/>
          <w:sz w:val="28"/>
          <w:u w:color="auto"/>
        </w:rPr>
        <w:t>增长0.40</w:t>
      </w:r>
      <w:r>
        <w:rPr>
          <w:rFonts w:hint="eastAsia" w:ascii="宋体" w:hAnsi="宋体" w:eastAsia="宋体" w:cs="宋体"/>
          <w:sz w:val="28"/>
          <w:szCs w:val="28"/>
        </w:rPr>
        <w:t>万元，</w:t>
      </w:r>
      <w:r>
        <w:rPr>
          <w:rFonts w:ascii="宋体" w:hAnsi="宋体" w:eastAsia="宋体" w:cs="宋体"/>
          <w:sz w:val="28"/>
          <w:u w:color="auto"/>
        </w:rPr>
        <w:t>增长11.90%</w:t>
      </w:r>
      <w:r>
        <w:rPr>
          <w:rFonts w:hint="eastAsia" w:ascii="宋体" w:hAnsi="宋体" w:eastAsia="宋体" w:cs="宋体"/>
          <w:sz w:val="28"/>
          <w:szCs w:val="28"/>
        </w:rPr>
        <w:t>，主要原因是：</w:t>
      </w:r>
      <w:r>
        <w:rPr>
          <w:rFonts w:hint="eastAsia"/>
          <w:highlight w:val="none"/>
        </w:rPr>
        <w:t>人员工资福利和经费支出增加，增加基础性绩效工资增量</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社会保障和就业支出（类）支出</w:t>
      </w:r>
      <w:r>
        <w:rPr>
          <w:rFonts w:ascii="宋体" w:hAnsi="宋体" w:eastAsia="宋体" w:cs="宋体"/>
          <w:sz w:val="28"/>
          <w:u w:color="auto"/>
        </w:rPr>
        <w:t>32.44</w:t>
      </w:r>
      <w:r>
        <w:rPr>
          <w:rFonts w:hint="eastAsia" w:ascii="宋体" w:hAnsi="宋体" w:eastAsia="宋体" w:cs="宋体"/>
          <w:sz w:val="28"/>
          <w:szCs w:val="28"/>
        </w:rPr>
        <w:t>万元，占支出总预算的</w:t>
      </w:r>
      <w:r>
        <w:rPr>
          <w:rFonts w:ascii="宋体" w:hAnsi="宋体" w:eastAsia="宋体" w:cs="宋体"/>
          <w:sz w:val="28"/>
          <w:u w:color="auto"/>
        </w:rPr>
        <w:t>88.76%</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30.66</w:t>
      </w:r>
      <w:r>
        <w:rPr>
          <w:rFonts w:hint="eastAsia" w:ascii="宋体" w:hAnsi="宋体" w:eastAsia="宋体" w:cs="宋体"/>
          <w:sz w:val="28"/>
          <w:szCs w:val="28"/>
        </w:rPr>
        <w:t>万元，</w:t>
      </w:r>
      <w:r>
        <w:rPr>
          <w:rFonts w:ascii="宋体" w:hAnsi="宋体" w:eastAsia="宋体" w:cs="宋体"/>
          <w:sz w:val="28"/>
          <w:u w:color="auto"/>
        </w:rPr>
        <w:t>增长1.78</w:t>
      </w:r>
      <w:r>
        <w:rPr>
          <w:rFonts w:hint="eastAsia" w:ascii="宋体" w:hAnsi="宋体" w:eastAsia="宋体" w:cs="宋体"/>
          <w:sz w:val="28"/>
          <w:szCs w:val="28"/>
        </w:rPr>
        <w:t>万元，</w:t>
      </w:r>
      <w:r>
        <w:rPr>
          <w:rFonts w:ascii="宋体" w:hAnsi="宋体" w:eastAsia="宋体" w:cs="宋体"/>
          <w:sz w:val="28"/>
          <w:u w:color="auto"/>
        </w:rPr>
        <w:t>增长5.81%</w:t>
      </w:r>
      <w:r>
        <w:rPr>
          <w:rFonts w:hint="eastAsia" w:ascii="宋体" w:hAnsi="宋体" w:eastAsia="宋体" w:cs="宋体"/>
          <w:sz w:val="28"/>
          <w:szCs w:val="28"/>
        </w:rPr>
        <w:t>，主要原因是：</w:t>
      </w:r>
      <w:r>
        <w:rPr>
          <w:rFonts w:hint="eastAsia"/>
          <w:highlight w:val="none"/>
        </w:rPr>
        <w:t>人员工资福利和经费支出增加，增加基础性绩效工资增量</w:t>
      </w:r>
      <w:r>
        <w:rPr>
          <w:rFonts w:hint="eastAsia" w:ascii="宋体" w:hAnsi="宋体" w:eastAsia="宋体" w:cs="宋体"/>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六、一般公共预算基本支出情况说明</w:t>
      </w:r>
    </w:p>
    <w:p>
      <w:pPr>
        <w:pStyle w:val="16"/>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352"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lang w:val="en-US" w:eastAsia="zh-CN"/>
        </w:rPr>
      </w:pPr>
      <w:r>
        <w:rPr>
          <w:rFonts w:hint="eastAsia"/>
          <w:lang w:val="en-US" w:eastAsia="zh-CN"/>
        </w:rPr>
        <w:t>2024</w:t>
      </w:r>
      <w:r>
        <w:rPr>
          <w:u w:color="auto"/>
        </w:rPr>
        <w:t>年</w:t>
      </w:r>
      <w:r>
        <w:rPr>
          <w:rFonts w:hint="eastAsia"/>
        </w:rPr>
        <w:t>一般公共预算基本支出共</w:t>
      </w:r>
      <w:r>
        <w:rPr>
          <w:rFonts w:hint="eastAsia"/>
          <w:lang w:val="en-US" w:eastAsia="zh-CN"/>
        </w:rPr>
        <w:t>36.55</w:t>
      </w:r>
      <w:r>
        <w:rPr>
          <w:rFonts w:hint="eastAsia"/>
        </w:rPr>
        <w:t>万元，较2023年度预算数</w:t>
      </w:r>
      <w:r>
        <w:rPr>
          <w:rFonts w:hint="eastAsia"/>
          <w:lang w:val="en-US" w:eastAsia="zh-CN"/>
        </w:rPr>
        <w:t>34.58</w:t>
      </w:r>
      <w:r>
        <w:rPr>
          <w:rFonts w:hint="eastAsia"/>
        </w:rPr>
        <w:t>万元</w:t>
      </w:r>
      <w:r>
        <w:rPr>
          <w:rFonts w:hint="eastAsia"/>
          <w:lang w:val="en-US" w:eastAsia="zh-CN"/>
        </w:rPr>
        <w:t>,</w:t>
      </w:r>
      <w:r>
        <w:rPr>
          <w:u w:color="auto"/>
        </w:rPr>
        <w:t>增加1.97</w:t>
      </w:r>
      <w:r>
        <w:rPr>
          <w:rFonts w:hint="eastAsia"/>
        </w:rPr>
        <w:t>万元，</w:t>
      </w:r>
      <w:r>
        <w:rPr>
          <w:rFonts w:hint="eastAsia"/>
          <w:lang w:val="en-US" w:eastAsia="zh-CN"/>
        </w:rPr>
        <w:t>增长5.70%</w:t>
      </w:r>
      <w:r>
        <w:rPr>
          <w:rFonts w:hint="eastAsia"/>
        </w:rPr>
        <w:t>，主要原因是</w:t>
      </w:r>
      <w:r>
        <w:rPr>
          <w:rFonts w:hint="eastAsia"/>
          <w:highlight w:val="none"/>
          <w:lang w:val="en-US" w:eastAsia="zh-CN"/>
        </w:rPr>
        <w:t>人员工资福利和经费支出增加，增加基础性绩效工资增量</w:t>
      </w:r>
      <w:r>
        <w:rPr>
          <w:rFonts w:hint="eastAsia"/>
        </w:rPr>
        <w:t>。具体情况为：</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工资福利支出</w:t>
      </w:r>
      <w:r>
        <w:rPr>
          <w:rFonts w:hint="eastAsia"/>
        </w:rPr>
        <w:t>支出预算</w:t>
      </w:r>
      <w:r>
        <w:rPr>
          <w:rFonts w:hint="eastAsia"/>
          <w:lang w:val="en-US" w:eastAsia="zh-CN"/>
        </w:rPr>
        <w:t>35.48</w:t>
      </w:r>
      <w:r>
        <w:t>万元</w:t>
      </w:r>
      <w:r>
        <w:rPr>
          <w:rFonts w:hint="eastAsia"/>
          <w:lang w:eastAsia="zh-CN"/>
        </w:rPr>
        <w:t>，</w:t>
      </w:r>
      <w:r>
        <w:rPr>
          <w:rFonts w:hint="eastAsia"/>
        </w:rPr>
        <w:t>占基本支出预算的</w:t>
      </w:r>
      <w:r>
        <w:rPr>
          <w:rFonts w:hint="eastAsia"/>
          <w:lang w:val="en-US" w:eastAsia="zh-CN"/>
        </w:rPr>
        <w:t>97.07%</w:t>
      </w:r>
      <w:r>
        <w:rPr>
          <w:rFonts w:hint="eastAsia"/>
        </w:rPr>
        <w:t>，较2023年度预算数</w:t>
      </w:r>
      <w:r>
        <w:rPr>
          <w:rFonts w:hint="eastAsia"/>
          <w:lang w:val="en-US" w:eastAsia="zh-CN"/>
        </w:rPr>
        <w:t>33.30</w:t>
      </w:r>
      <w:r>
        <w:rPr>
          <w:rFonts w:hint="eastAsia"/>
        </w:rPr>
        <w:t>万元，</w:t>
      </w:r>
      <w:r>
        <w:rPr>
          <w:rFonts w:hint="eastAsia"/>
          <w:lang w:val="en-US" w:eastAsia="zh-CN"/>
        </w:rPr>
        <w:t>增长2.18</w:t>
      </w:r>
      <w:r>
        <w:rPr>
          <w:rFonts w:hint="eastAsia"/>
        </w:rPr>
        <w:t>万元，</w:t>
      </w:r>
      <w:r>
        <w:rPr>
          <w:rFonts w:hint="eastAsia"/>
          <w:lang w:val="en-US" w:eastAsia="zh-CN"/>
        </w:rPr>
        <w:t>增长6.55%</w:t>
      </w:r>
      <w:r>
        <w:rPr>
          <w:rFonts w:hint="eastAsia"/>
        </w:rPr>
        <w:t>，主要原因是：</w:t>
      </w:r>
      <w:r>
        <w:rPr>
          <w:rFonts w:hint="eastAsia"/>
          <w:highlight w:val="none"/>
        </w:rPr>
        <w:t>人员工资福利和经费支出增加，增加基础性绩效工资增量</w:t>
      </w:r>
      <w:r>
        <w:rPr>
          <w:rFonts w:hint="eastAsia"/>
          <w:highlight w:val="none"/>
          <w:lang w:val="en-US" w:eastAsia="zh-CN"/>
        </w:rPr>
        <w:t>。</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商品和服务支出</w:t>
      </w:r>
      <w:r>
        <w:rPr>
          <w:rFonts w:hint="eastAsia"/>
        </w:rPr>
        <w:t>支出预算</w:t>
      </w:r>
      <w:r>
        <w:rPr>
          <w:rFonts w:hint="eastAsia"/>
          <w:lang w:val="en-US" w:eastAsia="zh-CN"/>
        </w:rPr>
        <w:t>1.08</w:t>
      </w:r>
      <w:r>
        <w:t>万元</w:t>
      </w:r>
      <w:r>
        <w:rPr>
          <w:rFonts w:hint="eastAsia"/>
          <w:lang w:eastAsia="zh-CN"/>
        </w:rPr>
        <w:t>，</w:t>
      </w:r>
      <w:r>
        <w:rPr>
          <w:rFonts w:hint="eastAsia"/>
        </w:rPr>
        <w:t>占基本支出预算的</w:t>
      </w:r>
      <w:r>
        <w:rPr>
          <w:rFonts w:hint="eastAsia"/>
          <w:lang w:val="en-US" w:eastAsia="zh-CN"/>
        </w:rPr>
        <w:t>2.95%</w:t>
      </w:r>
      <w:r>
        <w:rPr>
          <w:rFonts w:hint="eastAsia"/>
        </w:rPr>
        <w:t>，较2023年度预算数</w:t>
      </w:r>
      <w:r>
        <w:rPr>
          <w:rFonts w:hint="eastAsia"/>
          <w:lang w:val="en-US" w:eastAsia="zh-CN"/>
        </w:rPr>
        <w:t>1.28</w:t>
      </w:r>
      <w:r>
        <w:rPr>
          <w:rFonts w:hint="eastAsia"/>
        </w:rPr>
        <w:t>万元，</w:t>
      </w:r>
      <w:r>
        <w:rPr>
          <w:rFonts w:hint="eastAsia"/>
          <w:lang w:val="en-US" w:eastAsia="zh-CN"/>
        </w:rPr>
        <w:t>减少0.20</w:t>
      </w:r>
      <w:r>
        <w:rPr>
          <w:rFonts w:hint="eastAsia"/>
        </w:rPr>
        <w:t>万元，</w:t>
      </w:r>
      <w:r>
        <w:rPr>
          <w:rFonts w:hint="eastAsia"/>
          <w:lang w:val="en-US" w:eastAsia="zh-CN"/>
        </w:rPr>
        <w:t>减少15.63%</w:t>
      </w:r>
      <w:r>
        <w:rPr>
          <w:rFonts w:hint="eastAsia"/>
        </w:rPr>
        <w:t>，主要原因是：</w:t>
      </w:r>
      <w:r>
        <w:rPr>
          <w:rFonts w:hint="eastAsia"/>
          <w:highlight w:val="none"/>
        </w:rPr>
        <w:t>践行中央过紧日子的文件精神，缩减经费开支</w:t>
      </w:r>
      <w:r>
        <w:rPr>
          <w:rFonts w:hint="eastAsia"/>
          <w:highlight w:val="none"/>
          <w:lang w:val="en-US" w:eastAsia="zh-CN"/>
        </w:rPr>
        <w:t>。</w:t>
      </w:r>
    </w:p>
    <w:p>
      <w:pPr>
        <w:pStyle w:val="16"/>
        <w:spacing w:after="0" w:line="619" w:lineRule="exact"/>
        <w:ind w:firstLine="620"/>
        <w:jc w:val="left"/>
        <w:rPr>
          <w:rFonts w:hint="eastAsia"/>
          <w:b/>
          <w:bCs/>
        </w:rPr>
      </w:pPr>
      <w:r>
        <w:rPr>
          <w:rFonts w:hint="eastAsia"/>
          <w:b/>
          <w:bCs/>
          <w:lang w:val="en-US" w:eastAsia="zh-CN"/>
        </w:rPr>
        <w:t>七、一般公共预算</w:t>
      </w:r>
      <w:r>
        <w:rPr>
          <w:rFonts w:hint="eastAsia"/>
          <w:b/>
          <w:bCs/>
          <w:lang w:val="zh-CN" w:eastAsia="zh-CN"/>
        </w:rPr>
        <w:t>“三</w:t>
      </w:r>
      <w:r>
        <w:rPr>
          <w:rFonts w:hint="eastAsia"/>
          <w:b/>
          <w:bCs/>
          <w:lang w:val="en-US" w:eastAsia="zh-CN"/>
        </w:rPr>
        <w:t>公”经费支出情况说明</w:t>
      </w:r>
    </w:p>
    <w:p>
      <w:pPr>
        <w:pStyle w:val="16"/>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353"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w:t>
      </w:r>
      <w:r>
        <w:rPr>
          <w:rFonts w:hint="eastAsia"/>
          <w:b w:val="0"/>
          <w:bCs w:val="0"/>
          <w:sz w:val="28"/>
          <w:szCs w:val="28"/>
          <w:lang w:val="en-US" w:eastAsia="zh-CN"/>
        </w:rPr>
        <w:t>一</w:t>
      </w:r>
      <w:r>
        <w:rPr>
          <w:rFonts w:hint="eastAsia"/>
          <w:b w:val="0"/>
          <w:bCs w:val="0"/>
          <w:sz w:val="28"/>
          <w:szCs w:val="28"/>
          <w:lang w:eastAsia="zh-CN"/>
        </w:rPr>
        <w:t>）</w:t>
      </w:r>
      <w:r>
        <w:rPr>
          <w:sz w:val="28"/>
          <w:u w:color="auto"/>
        </w:rPr>
        <w:t>2024年部门预算共安排</w:t>
      </w:r>
      <w:r>
        <w:rPr>
          <w:rFonts w:hint="eastAsia"/>
          <w:b w:val="0"/>
          <w:bCs w:val="0"/>
          <w:sz w:val="28"/>
          <w:szCs w:val="28"/>
          <w:lang w:val="zh-CN" w:eastAsia="zh-CN"/>
        </w:rPr>
        <w:t>“三公</w:t>
      </w:r>
      <w:r>
        <w:rPr>
          <w:rFonts w:hint="eastAsia"/>
          <w:b w:val="0"/>
          <w:bCs w:val="0"/>
          <w:sz w:val="28"/>
          <w:szCs w:val="28"/>
          <w:lang w:val="en-US" w:eastAsia="zh-CN"/>
        </w:rPr>
        <w:t>"</w:t>
      </w:r>
      <w:r>
        <w:rPr>
          <w:rFonts w:hint="eastAsia"/>
          <w:b w:val="0"/>
          <w:bCs w:val="0"/>
          <w:sz w:val="28"/>
          <w:szCs w:val="28"/>
          <w:lang w:eastAsia="zh-CN"/>
        </w:rPr>
        <w:t>经费支出预算</w:t>
      </w:r>
      <w:r>
        <w:rPr>
          <w:rFonts w:hint="eastAsia"/>
          <w:b w:val="0"/>
          <w:bCs w:val="0"/>
          <w:sz w:val="28"/>
          <w:szCs w:val="28"/>
          <w:lang w:val="en-US" w:eastAsia="zh-CN"/>
        </w:rPr>
        <w:t>0.00</w:t>
      </w:r>
      <w:r>
        <w:rPr>
          <w:rFonts w:hint="eastAsia"/>
          <w:b w:val="0"/>
          <w:bCs w:val="0"/>
          <w:sz w:val="28"/>
          <w:szCs w:val="28"/>
          <w:lang w:eastAsia="zh-CN"/>
        </w:rPr>
        <w:t>万元（全口径），其中：因公出国（境）经费支出预算</w:t>
      </w:r>
      <w:r>
        <w:rPr>
          <w:rFonts w:hint="eastAsia"/>
          <w:b w:val="0"/>
          <w:bCs w:val="0"/>
          <w:sz w:val="28"/>
          <w:szCs w:val="28"/>
          <w:lang w:val="en-US" w:eastAsia="zh-CN"/>
        </w:rPr>
        <w:t>0.00</w:t>
      </w:r>
      <w:r>
        <w:rPr>
          <w:rFonts w:hint="eastAsia"/>
          <w:b w:val="0"/>
          <w:bCs w:val="0"/>
          <w:sz w:val="28"/>
          <w:szCs w:val="28"/>
          <w:lang w:eastAsia="zh-CN"/>
        </w:rPr>
        <w:t>万元，公务接待费支出预算</w:t>
      </w:r>
      <w:r>
        <w:rPr>
          <w:rFonts w:hint="eastAsia"/>
          <w:b w:val="0"/>
          <w:bCs w:val="0"/>
          <w:sz w:val="28"/>
          <w:szCs w:val="28"/>
          <w:lang w:val="en-US" w:eastAsia="zh-CN"/>
        </w:rPr>
        <w:t>0.00</w:t>
      </w:r>
      <w:r>
        <w:rPr>
          <w:rFonts w:hint="eastAsia"/>
          <w:b w:val="0"/>
          <w:bCs w:val="0"/>
          <w:sz w:val="28"/>
          <w:szCs w:val="28"/>
          <w:lang w:eastAsia="zh-CN"/>
        </w:rPr>
        <w:t>万元，公务用车购置及运行费支出预算</w:t>
      </w:r>
      <w:r>
        <w:rPr>
          <w:rFonts w:hint="eastAsia"/>
          <w:b w:val="0"/>
          <w:bCs w:val="0"/>
          <w:sz w:val="28"/>
          <w:szCs w:val="28"/>
          <w:lang w:val="en-US" w:eastAsia="zh-CN"/>
        </w:rPr>
        <w:t>0.00</w:t>
      </w:r>
      <w:r>
        <w:rPr>
          <w:rFonts w:hint="eastAsia"/>
          <w:b w:val="0"/>
          <w:bCs w:val="0"/>
          <w:sz w:val="28"/>
          <w:szCs w:val="28"/>
          <w:lang w:eastAsia="zh-CN"/>
        </w:rPr>
        <w:t>万元（公务用车购置费</w:t>
      </w:r>
      <w:r>
        <w:rPr>
          <w:rFonts w:hint="eastAsia"/>
          <w:b w:val="0"/>
          <w:bCs w:val="0"/>
          <w:sz w:val="28"/>
          <w:szCs w:val="28"/>
          <w:lang w:val="en-US" w:eastAsia="zh-CN"/>
        </w:rPr>
        <w:t>0.00</w:t>
      </w:r>
      <w:r>
        <w:rPr>
          <w:rFonts w:hint="eastAsia"/>
          <w:b w:val="0"/>
          <w:bCs w:val="0"/>
          <w:sz w:val="28"/>
          <w:szCs w:val="28"/>
          <w:lang w:eastAsia="zh-CN"/>
        </w:rPr>
        <w:t>万元,公务用车运行维护费</w:t>
      </w:r>
      <w:r>
        <w:rPr>
          <w:rFonts w:hint="eastAsia"/>
          <w:b w:val="0"/>
          <w:bCs w:val="0"/>
          <w:sz w:val="28"/>
          <w:szCs w:val="28"/>
          <w:lang w:val="en-US" w:eastAsia="zh-CN"/>
        </w:rPr>
        <w:t>0.00</w:t>
      </w:r>
      <w:r>
        <w:rPr>
          <w:rFonts w:hint="eastAsia"/>
          <w:b w:val="0"/>
          <w:bCs w:val="0"/>
          <w:sz w:val="28"/>
          <w:szCs w:val="28"/>
          <w:lang w:eastAsia="zh-CN"/>
        </w:rPr>
        <w:t>万元）。</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sz w:val="28"/>
          <w:u w:color="auto"/>
        </w:rPr>
        <w:t>2024</w:t>
      </w:r>
      <w:r>
        <w:rPr>
          <w:rFonts w:hint="eastAsia"/>
          <w:b w:val="0"/>
          <w:bCs w:val="0"/>
          <w:sz w:val="28"/>
          <w:szCs w:val="28"/>
        </w:rPr>
        <w:t>年一般公共预算安排的“三公”经费支出预算</w:t>
      </w:r>
      <w:r>
        <w:rPr>
          <w:rFonts w:hint="eastAsia"/>
          <w:b w:val="0"/>
          <w:bCs w:val="0"/>
          <w:sz w:val="28"/>
          <w:szCs w:val="28"/>
          <w:lang w:val="en-US" w:eastAsia="zh-CN"/>
        </w:rPr>
        <w:t>0.00</w:t>
      </w:r>
      <w:r>
        <w:rPr>
          <w:rFonts w:hint="eastAsia"/>
          <w:b w:val="0"/>
          <w:bCs w:val="0"/>
          <w:sz w:val="28"/>
          <w:szCs w:val="28"/>
        </w:rPr>
        <w:t>万元，同口径较2023年度预算数</w:t>
      </w:r>
      <w:r>
        <w:rPr>
          <w:rFonts w:hint="eastAsia"/>
          <w:b w:val="0"/>
          <w:bCs w:val="0"/>
          <w:sz w:val="28"/>
          <w:szCs w:val="28"/>
          <w:lang w:val="en-US" w:eastAsia="zh-CN"/>
        </w:rPr>
        <w:t>0.00</w:t>
      </w:r>
      <w:r>
        <w:rPr>
          <w:rFonts w:hint="eastAsia"/>
          <w:b w:val="0"/>
          <w:bCs w:val="0"/>
          <w:sz w:val="28"/>
          <w:szCs w:val="28"/>
        </w:rPr>
        <w:t>万元，</w:t>
      </w:r>
      <w:r>
        <w:rPr>
          <w:rFonts w:hint="eastAsia"/>
          <w:b w:val="0"/>
          <w:bCs w:val="0"/>
          <w:sz w:val="28"/>
          <w:szCs w:val="28"/>
          <w:lang w:val="en-US" w:eastAsia="zh-CN"/>
        </w:rPr>
        <w:t>增长0.00</w:t>
      </w:r>
      <w:r>
        <w:rPr>
          <w:rFonts w:hint="eastAsia"/>
          <w:b w:val="0"/>
          <w:bCs w:val="0"/>
          <w:sz w:val="28"/>
          <w:szCs w:val="28"/>
        </w:rPr>
        <w:t>万元，</w:t>
      </w:r>
      <w:r>
        <w:rPr>
          <w:rFonts w:hint="eastAsia"/>
          <w:b w:val="0"/>
          <w:bCs w:val="0"/>
          <w:sz w:val="28"/>
          <w:szCs w:val="28"/>
          <w:lang w:val="en-US" w:eastAsia="zh-CN"/>
        </w:rPr>
        <w:t>增长0%</w:t>
      </w:r>
      <w:r>
        <w:rPr>
          <w:rFonts w:hint="eastAsia"/>
          <w:b w:val="0"/>
          <w:bCs w:val="0"/>
          <w:sz w:val="28"/>
          <w:szCs w:val="28"/>
        </w:rPr>
        <w:t>，具体如下：</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1.因公出国（境）费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本部门无因公出国（境）费用支出</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2.公务接待费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公务接待费统一在政府部门核算</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3.公务用车购置及运行费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，其中：</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公务用车购置费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本部门本年度无新增公务车购置</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公务用车运行维护费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无公务用车运行维护费</w:t>
      </w:r>
      <w:r>
        <w:rPr>
          <w:rFonts w:hint="eastAsia"/>
          <w:b w:val="0"/>
          <w:bCs w:val="0"/>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八</w:t>
      </w:r>
      <w:bookmarkEnd w:id="14"/>
      <w:r>
        <w:rPr>
          <w:rFonts w:hint="eastAsia"/>
          <w:b/>
          <w:bCs/>
          <w:lang w:val="en-US" w:eastAsia="zh-CN"/>
        </w:rPr>
        <w:t>、政府性基金预算支出情况说明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lang w:eastAsia="zh-CN"/>
        </w:rPr>
      </w:pPr>
      <w:r>
        <w:rPr>
          <w:rFonts w:hint="eastAsia"/>
        </w:rPr>
        <w:t>我部门</w:t>
      </w:r>
      <w:r>
        <w:rPr>
          <w:rFonts w:hint="eastAsia"/>
          <w:b w:val="0"/>
          <w:bCs w:val="0"/>
          <w:sz w:val="28"/>
          <w:szCs w:val="28"/>
          <w:lang w:eastAsia="zh-CN"/>
        </w:rPr>
        <w:t>2024</w:t>
      </w:r>
      <w:r>
        <w:rPr>
          <w:rFonts w:hint="eastAsia"/>
        </w:rPr>
        <w:t>年政府性基金预算支出共</w:t>
      </w:r>
      <w:r>
        <w:rPr>
          <w:rFonts w:hint="eastAsia"/>
          <w:b w:val="0"/>
          <w:bCs w:val="0"/>
          <w:sz w:val="28"/>
          <w:szCs w:val="28"/>
          <w:lang w:eastAsia="zh-CN"/>
        </w:rPr>
        <w:t>0.00</w:t>
      </w:r>
      <w:r>
        <w:rPr>
          <w:rFonts w:hint="eastAsia"/>
        </w:rPr>
        <w:t>万元，较2023年度预算数</w:t>
      </w:r>
      <w:r>
        <w:rPr>
          <w:rFonts w:hint="eastAsia"/>
          <w:b w:val="0"/>
          <w:bCs w:val="0"/>
          <w:sz w:val="28"/>
          <w:szCs w:val="28"/>
          <w:lang w:eastAsia="zh-CN"/>
        </w:rPr>
        <w:t>0.00</w:t>
      </w:r>
      <w:r>
        <w:rPr>
          <w:rFonts w:hint="eastAsia"/>
        </w:rPr>
        <w:t>万元，</w:t>
      </w:r>
      <w:r>
        <w:rPr>
          <w:rFonts w:hint="eastAsia"/>
          <w:b w:val="0"/>
          <w:bCs w:val="0"/>
          <w:sz w:val="28"/>
          <w:szCs w:val="28"/>
          <w:lang w:eastAsia="zh-CN"/>
        </w:rPr>
        <w:t>增加0.00</w:t>
      </w:r>
      <w:r>
        <w:rPr>
          <w:rFonts w:hint="eastAsia"/>
        </w:rPr>
        <w:t>万元，</w:t>
      </w:r>
      <w:r>
        <w:rPr>
          <w:rFonts w:hint="eastAsia"/>
          <w:b w:val="0"/>
          <w:bCs w:val="0"/>
          <w:sz w:val="28"/>
          <w:szCs w:val="28"/>
          <w:lang w:eastAsia="zh-CN"/>
        </w:rPr>
        <w:t>增长0%</w:t>
      </w:r>
      <w:r>
        <w:rPr>
          <w:rFonts w:hint="eastAsia"/>
        </w:rPr>
        <w:t>，主要原因是</w:t>
      </w:r>
      <w:r>
        <w:rPr>
          <w:rFonts w:hint="eastAsia"/>
          <w:highlight w:val="none"/>
          <w:lang w:val="en-US" w:eastAsia="zh-CN"/>
        </w:rPr>
        <w:t>我部门2024年无部门政府性基金预算</w:t>
      </w:r>
      <w:r>
        <w:rPr>
          <w:rFonts w:hint="eastAsia"/>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九</w:t>
      </w:r>
      <w:bookmarkEnd w:id="15"/>
      <w:r>
        <w:rPr>
          <w:rFonts w:hint="eastAsia"/>
          <w:b/>
          <w:bCs/>
          <w:lang w:val="en-US" w:eastAsia="zh-CN"/>
        </w:rPr>
        <w:t>、国有资本经营预算支出情况说明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lang w:eastAsia="zh-CN"/>
        </w:rPr>
      </w:pPr>
      <w:r>
        <w:rPr>
          <w:rFonts w:hint="eastAsia"/>
        </w:rPr>
        <w:t>我部门</w:t>
      </w:r>
      <w:r>
        <w:rPr>
          <w:rFonts w:hint="eastAsia"/>
          <w:lang w:eastAsia="zh-CN"/>
        </w:rPr>
        <w:t>2024</w:t>
      </w:r>
      <w:r>
        <w:rPr>
          <w:rFonts w:hint="eastAsia"/>
        </w:rPr>
        <w:t>年国有资本经营预算支出共</w:t>
      </w:r>
      <w:r>
        <w:rPr>
          <w:rFonts w:hint="eastAsia"/>
          <w:lang w:eastAsia="zh-CN"/>
        </w:rPr>
        <w:t>0.00</w:t>
      </w:r>
      <w:r>
        <w:rPr>
          <w:rFonts w:hint="eastAsia"/>
        </w:rPr>
        <w:t>万元，较2023年度预算数</w:t>
      </w:r>
      <w:r>
        <w:rPr>
          <w:rFonts w:hint="eastAsia"/>
          <w:lang w:eastAsia="zh-CN"/>
        </w:rPr>
        <w:t>0.00</w:t>
      </w:r>
      <w:r>
        <w:rPr>
          <w:rFonts w:hint="eastAsia"/>
        </w:rPr>
        <w:t>万元，</w:t>
      </w:r>
      <w:r>
        <w:rPr>
          <w:rFonts w:hint="eastAsia"/>
          <w:lang w:eastAsia="zh-CN"/>
        </w:rPr>
        <w:t>增加0.00</w:t>
      </w:r>
      <w:r>
        <w:rPr>
          <w:rFonts w:hint="eastAsia"/>
        </w:rPr>
        <w:t>万元，</w:t>
      </w:r>
      <w:r>
        <w:rPr>
          <w:rFonts w:hint="eastAsia"/>
          <w:lang w:eastAsia="zh-CN"/>
        </w:rPr>
        <w:t>增长0%</w:t>
      </w:r>
      <w:r>
        <w:rPr>
          <w:rFonts w:hint="eastAsia"/>
        </w:rPr>
        <w:t>，主要原因是</w:t>
      </w:r>
      <w:r>
        <w:rPr>
          <w:rFonts w:hint="eastAsia"/>
          <w:lang w:val="en-US" w:eastAsia="zh-CN"/>
        </w:rPr>
        <w:t>我部门2024年无部门国有资本经营预算</w:t>
      </w:r>
      <w:r>
        <w:rPr>
          <w:rFonts w:hint="eastAsia"/>
        </w:rPr>
        <w:t>。</w:t>
      </w:r>
    </w:p>
    <w:p>
      <w:pPr>
        <w:pStyle w:val="16"/>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十、其他重要事项</w:t>
      </w:r>
      <w:r>
        <w:rPr>
          <w:rFonts w:hint="eastAsia"/>
          <w:b/>
          <w:bCs/>
          <w:lang w:val="en-US" w:eastAsia="zh-CN"/>
        </w:rPr>
        <w:t>情况</w:t>
      </w:r>
      <w:r>
        <w:rPr>
          <w:b/>
          <w:bCs/>
        </w:rPr>
        <w:t>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（一）机关运行经费安排情况说明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2024年本部门机关运行经费预算</w:t>
      </w:r>
      <w:r>
        <w:rPr>
          <w:rFonts w:hint="eastAsia" w:ascii="宋体" w:hAnsi="宋体" w:eastAsia="宋体" w:cs="宋体"/>
          <w:sz w:val="28"/>
          <w:szCs w:val="28"/>
          <w:lang w:val="en-US" w:eastAsia="zh-CN"/>
        </w:rPr>
        <w:t>1.08</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1.28</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减少0.20</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下降15.63%</w:t>
      </w:r>
      <w:r>
        <w:rPr>
          <w:rFonts w:hint="eastAsia" w:ascii="宋体" w:hAnsi="宋体" w:eastAsia="宋体" w:cs="宋体"/>
          <w:sz w:val="28"/>
          <w:szCs w:val="28"/>
          <w:lang w:eastAsia="zh-CN"/>
        </w:rPr>
        <w:t>，主要原因是：</w:t>
      </w:r>
      <w:r>
        <w:rPr>
          <w:rFonts w:hint="eastAsia" w:ascii="宋体" w:hAnsi="宋体" w:eastAsia="宋体" w:cs="宋体"/>
          <w:sz w:val="28"/>
          <w:szCs w:val="28"/>
          <w:lang w:val="en-US" w:eastAsia="zh-CN"/>
        </w:rPr>
        <w:t>践行中央过紧日子的文件精神，缩减经费开支</w:t>
      </w:r>
      <w:r>
        <w:rPr>
          <w:rFonts w:hint="eastAsia" w:ascii="宋体" w:hAnsi="宋体" w:eastAsia="宋体" w:cs="宋体"/>
          <w:sz w:val="28"/>
          <w:szCs w:val="28"/>
          <w:lang w:eastAsia="zh-CN"/>
        </w:rPr>
        <w:t>。</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（二）政府采购预算安排情况说明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eastAsia="zh-CN"/>
        </w:rPr>
        <w:t>我部门2024年政府采购预算总金额</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万元。其中：货物类采购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万元、工程类采购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万元、服务类采购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主要用于：0</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（三）国有资产占用情况说明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截至2023年12月31日，本部门共有车辆</w:t>
      </w:r>
      <w:r>
        <w:rPr>
          <w:rFonts w:hint="eastAsia"/>
          <w:highlight w:val="none"/>
          <w:lang w:val="en-US" w:eastAsia="zh-CN"/>
        </w:rPr>
        <w:t>0</w:t>
      </w:r>
      <w:r>
        <w:rPr>
          <w:rFonts w:hint="eastAsia" w:ascii="宋体" w:hAnsi="宋体" w:eastAsia="宋体" w:cs="宋体"/>
          <w:sz w:val="28"/>
          <w:szCs w:val="28"/>
          <w:lang w:eastAsia="zh-CN"/>
        </w:rPr>
        <w:t>辆，其中，应急机要通信用车</w:t>
      </w:r>
      <w:r>
        <w:rPr>
          <w:rFonts w:hint="eastAsia"/>
          <w:highlight w:val="none"/>
          <w:lang w:val="en-US" w:eastAsia="zh-CN"/>
        </w:rPr>
        <w:t>0</w:t>
      </w:r>
      <w:r>
        <w:rPr>
          <w:rFonts w:hint="eastAsia" w:ascii="宋体" w:hAnsi="宋体" w:eastAsia="宋体" w:cs="宋体"/>
          <w:sz w:val="28"/>
          <w:szCs w:val="28"/>
          <w:lang w:eastAsia="zh-CN"/>
        </w:rPr>
        <w:t>辆、一般执法执勤用车</w:t>
      </w:r>
      <w:r>
        <w:rPr>
          <w:rFonts w:hint="eastAsia"/>
          <w:highlight w:val="none"/>
          <w:lang w:val="en-US" w:eastAsia="zh-CN"/>
        </w:rPr>
        <w:t>0</w:t>
      </w:r>
      <w:r>
        <w:rPr>
          <w:rFonts w:hint="eastAsia" w:ascii="宋体" w:hAnsi="宋体" w:eastAsia="宋体" w:cs="宋体"/>
          <w:sz w:val="28"/>
          <w:szCs w:val="28"/>
          <w:lang w:eastAsia="zh-CN"/>
        </w:rPr>
        <w:t>辆、特种专业技术用车</w:t>
      </w:r>
      <w:r>
        <w:rPr>
          <w:rFonts w:hint="eastAsia"/>
          <w:highlight w:val="none"/>
          <w:lang w:val="en-US" w:eastAsia="zh-CN"/>
        </w:rPr>
        <w:t>0</w:t>
      </w:r>
      <w:r>
        <w:rPr>
          <w:rFonts w:hint="eastAsia" w:ascii="宋体" w:hAnsi="宋体" w:eastAsia="宋体" w:cs="宋体"/>
          <w:sz w:val="28"/>
          <w:szCs w:val="28"/>
          <w:lang w:eastAsia="zh-CN"/>
        </w:rPr>
        <w:t>辆、其他用车</w:t>
      </w:r>
      <w:r>
        <w:rPr>
          <w:rFonts w:hint="eastAsia"/>
          <w:highlight w:val="none"/>
          <w:lang w:val="en-US" w:eastAsia="zh-CN"/>
        </w:rPr>
        <w:t>0</w:t>
      </w:r>
      <w:r>
        <w:rPr>
          <w:rFonts w:hint="eastAsia" w:ascii="宋体" w:hAnsi="宋体" w:eastAsia="宋体" w:cs="宋体"/>
          <w:sz w:val="28"/>
          <w:szCs w:val="28"/>
          <w:lang w:eastAsia="zh-CN"/>
        </w:rPr>
        <w:t>辆，单位价值200万元以上大型设备</w:t>
      </w:r>
      <w:r>
        <w:rPr>
          <w:rFonts w:hint="eastAsia"/>
          <w:highlight w:val="none"/>
          <w:lang w:val="en-US" w:eastAsia="zh-CN"/>
        </w:rPr>
        <w:t>0</w:t>
      </w:r>
      <w:r>
        <w:rPr>
          <w:rFonts w:hint="eastAsia" w:ascii="宋体" w:hAnsi="宋体" w:eastAsia="宋体" w:cs="宋体"/>
          <w:sz w:val="28"/>
          <w:szCs w:val="28"/>
          <w:lang w:eastAsia="zh-CN"/>
        </w:rPr>
        <w:t>台（套）。</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（四）预算绩效目标情况说明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1.我部门2024年所有项目支出全面实施绩效目标管理，涉及项目</w:t>
      </w:r>
      <w:r>
        <w:rPr>
          <w:rFonts w:hint="eastAsia"/>
          <w:highlight w:val="none"/>
          <w:lang w:val="en-US" w:eastAsia="zh-CN"/>
        </w:rPr>
        <w:t>0</w:t>
      </w:r>
      <w:r>
        <w:rPr>
          <w:rFonts w:hint="eastAsia" w:ascii="宋体" w:hAnsi="宋体" w:eastAsia="宋体" w:cs="宋体"/>
          <w:sz w:val="28"/>
          <w:szCs w:val="28"/>
          <w:lang w:eastAsia="zh-CN"/>
        </w:rPr>
        <w:t>个，预算资金</w:t>
      </w:r>
      <w:r>
        <w:rPr>
          <w:rFonts w:hint="eastAsia"/>
          <w:highlight w:val="none"/>
          <w:lang w:val="en-US" w:eastAsia="zh-CN"/>
        </w:rPr>
        <w:t>0</w:t>
      </w:r>
      <w:r>
        <w:rPr>
          <w:rFonts w:hint="eastAsia" w:ascii="宋体" w:hAnsi="宋体" w:eastAsia="宋体" w:cs="宋体"/>
          <w:sz w:val="28"/>
          <w:szCs w:val="28"/>
          <w:lang w:eastAsia="zh-CN"/>
        </w:rPr>
        <w:t>万元。绩效目标情况详见报表（日常运转类项目、工资类人员经费项目和涉密项目等除外）。</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2.重点项目预算绩效目标说明。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highlight w:val="none"/>
          <w:lang w:val="en-US" w:eastAsia="zh-CN"/>
        </w:rPr>
      </w:pPr>
      <w:r>
        <w:rPr>
          <w:rFonts w:hint="eastAsia"/>
          <w:highlight w:val="none"/>
          <w:lang w:val="en-US" w:eastAsia="zh-CN"/>
        </w:rPr>
        <w:t>重点项目集中在政府部门预算，故我部门2024年无重点项目预算</w:t>
      </w:r>
    </w:p>
    <w:p>
      <w:pPr>
        <w:pStyle w:val="18"/>
        <w:spacing w:line="624" w:lineRule="exact"/>
        <w:ind w:firstLine="600"/>
        <w:jc w:val="left"/>
        <w:rPr>
          <w:rFonts w:hint="eastAsia"/>
          <w:highlight w:val="none"/>
          <w:lang w:val="en-US" w:eastAsia="zh-CN"/>
        </w:rPr>
      </w:pPr>
    </w:p>
    <w:p>
      <w:pPr>
        <w:pStyle w:val="18"/>
        <w:spacing w:line="624" w:lineRule="exact"/>
        <w:jc w:val="left"/>
        <w:rPr>
          <w:rFonts w:hint="default"/>
          <w:highlight w:val="none"/>
          <w:lang w:val="en-US" w:eastAsia="zh-CN"/>
        </w:rPr>
        <w:sectPr>
          <w:headerReference r:id="rId4" w:type="default"/>
          <w:footerReference r:id="rId5" w:type="default"/>
          <w:pgSz w:w="11900" w:h="16840"/>
          <w:pgMar w:top="1440" w:right="1800" w:bottom="1440" w:left="1800" w:header="0" w:footer="1077" w:gutter="0"/>
          <w:pgBorders>
            <w:top w:val="none" w:sz="0" w:space="0"/>
            <w:left w:val="none" w:sz="0" w:space="0"/>
            <w:bottom w:val="none" w:sz="0" w:space="0"/>
            <w:right w:val="none" w:sz="0" w:space="0"/>
          </w:pgBorders>
          <w:pgNumType w:fmt="decimal"/>
          <w:cols w:space="720" w:num="1"/>
          <w:docGrid w:linePitch="360" w:charSpace="0"/>
        </w:sectPr>
      </w:pPr>
    </w:p>
    <w:bookmarkEnd w:id="10"/>
    <w:bookmarkEnd w:id="11"/>
    <w:bookmarkEnd w:id="12"/>
    <w:p>
      <w:pPr>
        <w:pStyle w:val="12"/>
        <w:keepNext/>
        <w:keepLines/>
        <w:spacing w:after="980"/>
        <w:jc w:val="center"/>
        <w:rPr>
          <w:rFonts w:hint="eastAsia" w:ascii="宋体" w:hAnsi="宋体" w:eastAsia="宋体" w:cs="宋体"/>
          <w:b/>
          <w:bCs/>
          <w:sz w:val="36"/>
          <w:szCs w:val="36"/>
        </w:rPr>
      </w:pPr>
      <w:r>
        <w:rPr>
          <w:rFonts w:hint="eastAsia" w:ascii="宋体" w:hAnsi="宋体" w:eastAsia="宋体" w:cs="宋体"/>
          <w:b/>
          <w:bCs/>
          <w:sz w:val="36"/>
          <w:szCs w:val="36"/>
        </w:rPr>
        <w:t>第</w:t>
      </w:r>
      <w:r>
        <w:rPr>
          <w:rFonts w:hint="eastAsia" w:ascii="宋体" w:hAnsi="宋体" w:eastAsia="宋体" w:cs="宋体"/>
          <w:b/>
          <w:bCs/>
          <w:sz w:val="36"/>
          <w:szCs w:val="36"/>
          <w:lang w:val="en-US" w:eastAsia="zh-CN"/>
        </w:rPr>
        <w:t>三</w:t>
      </w:r>
      <w:r>
        <w:rPr>
          <w:rFonts w:hint="eastAsia" w:ascii="宋体" w:hAnsi="宋体" w:eastAsia="宋体" w:cs="宋体"/>
          <w:b/>
          <w:bCs/>
          <w:sz w:val="36"/>
          <w:szCs w:val="36"/>
        </w:rPr>
        <w:t>部分</w:t>
      </w:r>
      <w:r>
        <w:rPr>
          <w:rFonts w:hint="eastAsia" w:ascii="宋体" w:hAnsi="宋体" w:eastAsia="宋体" w:cs="宋体"/>
          <w:b/>
          <w:bCs/>
          <w:sz w:val="36"/>
          <w:szCs w:val="36"/>
          <w:lang w:eastAsia="zh-CN"/>
        </w:rPr>
        <w:t>环江毛南族自治县大才乡社会保障服务中心</w:t>
      </w:r>
      <w:r>
        <w:rPr>
          <w:rFonts w:ascii="宋体" w:hAnsi="宋体" w:eastAsia="宋体" w:cs="宋体"/>
          <w:b/>
          <w:sz w:val="36"/>
          <w:u w:color="auto"/>
        </w:rPr>
        <w:t>2024年</w:t>
      </w:r>
      <w:r>
        <w:rPr>
          <w:rFonts w:hint="eastAsia" w:ascii="宋体" w:hAnsi="宋体" w:eastAsia="宋体" w:cs="宋体"/>
          <w:b/>
          <w:bCs/>
          <w:sz w:val="36"/>
          <w:szCs w:val="36"/>
        </w:rPr>
        <w:t>部门预算表</w:t>
      </w:r>
    </w:p>
    <w:p>
      <w:pPr>
        <w:pStyle w:val="22"/>
        <w:keepNext/>
        <w:keepLines/>
        <w:spacing w:after="240"/>
        <w:jc w:val="center"/>
      </w:pPr>
      <w:bookmarkStart w:id="16" w:name="bookmark29"/>
      <w:bookmarkStart w:id="17" w:name="bookmark31"/>
      <w:bookmarkStart w:id="18" w:name="bookmark30"/>
      <w:r>
        <w:t>收支总体情况表</w:t>
      </w:r>
      <w:bookmarkEnd w:id="16"/>
      <w:bookmarkEnd w:id="17"/>
      <w:bookmarkEnd w:id="18"/>
    </w:p>
    <w:tbl>
      <w:tblPr>
        <w:tblStyle w:val="4"/>
        <w:tblW w:w="0" w:type="auto"/>
        <w:tblInd w:w="0" w:type="dxa"/>
        <w:tblLayout w:type="fixed"/>
        <w:tblCellMar>
          <w:top w:w="0" w:type="dxa"/>
          <w:left w:w="10" w:type="dxa"/>
          <w:bottom w:w="0" w:type="dxa"/>
          <w:right w:w="10" w:type="dxa"/>
        </w:tblCellMar>
      </w:tblPr>
      <w:tblGrid>
        <w:gridCol w:w="3339"/>
        <w:gridCol w:w="3760"/>
        <w:gridCol w:w="3542"/>
        <w:gridCol w:w="3571"/>
      </w:tblGrid>
      <w:tr>
        <w:tblPrEx>
          <w:tblCellMar>
            <w:top w:w="0" w:type="dxa"/>
            <w:left w:w="10" w:type="dxa"/>
            <w:bottom w:w="0" w:type="dxa"/>
            <w:right w:w="10" w:type="dxa"/>
          </w:tblCellMar>
        </w:tblPrEx>
        <w:trPr>
          <w:trHeight w:val="331" w:hRule="exact"/>
        </w:trPr>
        <w:tc>
          <w:tcPr>
            <w:tcW w:w="10641" w:type="dxa"/>
            <w:gridSpan w:val="3"/>
            <w:tcBorders>
              <w:bottom w:val="single" w:color="auto" w:sz="4" w:space="0"/>
            </w:tcBorders>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环江毛南族自治县大才乡社会保障服务中心</w:t>
            </w:r>
          </w:p>
        </w:tc>
        <w:tc>
          <w:tcPr>
            <w:tcW w:w="3571" w:type="dxa"/>
            <w:tcBorders>
              <w:bottom w:val="single" w:color="auto" w:sz="4" w:space="0"/>
            </w:tcBorders>
            <w:shd w:val="clear" w:color="auto" w:fill="FFFFFF"/>
          </w:tcPr>
          <w:p>
            <w:pPr>
              <w:pStyle w:val="24"/>
              <w:spacing w:line="240" w:lineRule="auto"/>
              <w:ind w:firstLine="2380" w:firstLineChars="1400"/>
              <w:jc w:val="left"/>
              <w:rPr>
                <w:sz w:val="17"/>
                <w:szCs w:val="17"/>
              </w:rPr>
            </w:pPr>
            <w:r>
              <w:rPr>
                <w:sz w:val="17"/>
                <w:szCs w:val="17"/>
              </w:rPr>
              <w:t>单位：万元</w:t>
            </w:r>
          </w:p>
        </w:tc>
      </w:tr>
      <w:tr>
        <w:tblPrEx>
          <w:tblCellMar>
            <w:top w:w="0" w:type="dxa"/>
            <w:left w:w="10" w:type="dxa"/>
            <w:bottom w:w="0" w:type="dxa"/>
            <w:right w:w="10" w:type="dxa"/>
          </w:tblCellMar>
        </w:tblPrEx>
        <w:trPr>
          <w:trHeight w:val="456" w:hRule="exact"/>
        </w:trPr>
        <w:tc>
          <w:tcPr>
            <w:tcW w:w="7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2890" w:firstLineChars="1700"/>
              <w:jc w:val="both"/>
              <w:rPr>
                <w:sz w:val="17"/>
                <w:szCs w:val="17"/>
              </w:rPr>
            </w:pPr>
            <w:r>
              <w:rPr>
                <w:sz w:val="17"/>
                <w:szCs w:val="17"/>
              </w:rPr>
              <w:t>收入</w:t>
            </w:r>
          </w:p>
        </w:tc>
        <w:tc>
          <w:tcPr>
            <w:tcW w:w="7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right="340" w:firstLine="2890" w:firstLineChars="1700"/>
              <w:jc w:val="both"/>
              <w:rPr>
                <w:sz w:val="17"/>
                <w:szCs w:val="17"/>
              </w:rPr>
            </w:pPr>
            <w:r>
              <w:rPr>
                <w:sz w:val="17"/>
                <w:szCs w:val="17"/>
              </w:rPr>
              <w:t>支出</w:t>
            </w:r>
          </w:p>
        </w:tc>
      </w:tr>
      <w:tr>
        <w:tblPrEx>
          <w:tblCellMar>
            <w:top w:w="0" w:type="dxa"/>
            <w:left w:w="10" w:type="dxa"/>
            <w:bottom w:w="0" w:type="dxa"/>
            <w:right w:w="10" w:type="dxa"/>
          </w:tblCellMar>
        </w:tblPrEx>
        <w:trPr>
          <w:trHeight w:val="432"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项目</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36.55</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0.36</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36.55</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32.44</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3.76</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36.55</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36.55</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36.55</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36.55</w:t>
            </w:r>
          </w:p>
        </w:tc>
      </w:tr>
    </w:tbl>
    <w:p>
      <w:pPr>
        <w:pStyle w:val="26"/>
        <w:ind w:left="101"/>
        <w:jc w:val="left"/>
      </w:pPr>
      <w:r>
        <w:t>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r:id="rId6" w:type="default"/>
          <w:footerReference r:id="rId7" w:type="default"/>
          <w:pgSz w:w="16840" w:h="11900" w:orient="landscape"/>
          <w:pgMar w:top="2397" w:right="761" w:bottom="1966" w:left="739" w:header="0" w:footer="1474" w:gutter="0"/>
          <w:pgBorders>
            <w:top w:val="none" w:sz="0" w:space="0"/>
            <w:left w:val="none" w:sz="0" w:space="0"/>
            <w:bottom w:val="none" w:sz="0" w:space="0"/>
            <w:right w:val="none" w:sz="0" w:space="0"/>
          </w:pgBorders>
          <w:pgNumType w:fmt="decimal"/>
          <w:cols w:space="720" w:num="1"/>
          <w:docGrid w:linePitch="360" w:charSpace="0"/>
        </w:sectPr>
      </w:pPr>
    </w:p>
    <w:p>
      <w:pPr>
        <w:tabs>
          <w:tab w:val="left" w:pos="859"/>
        </w:tabs>
        <w:jc w:val="left"/>
        <w:rPr>
          <w:rFonts w:eastAsia="宋体"/>
          <w:lang w:eastAsia="zh-CN"/>
        </w:rPr>
      </w:pPr>
    </w:p>
    <w:p>
      <w:pPr>
        <w:tabs>
          <w:tab w:val="left" w:pos="859"/>
        </w:tabs>
        <w:jc w:val="center"/>
        <w:rPr>
          <w:rFonts w:hint="eastAsia" w:eastAsia="宋体"/>
          <w:lang w:val="en-US" w:eastAsia="zh-CN"/>
        </w:rPr>
      </w:pPr>
    </w:p>
    <w:p>
      <w:pPr>
        <w:tabs>
          <w:tab w:val="left" w:pos="859"/>
        </w:tabs>
        <w:jc w:val="center"/>
        <w:rPr>
          <w:rFonts w:hint="eastAsia" w:eastAsia="宋体"/>
          <w:lang w:val="en-US" w:eastAsia="zh-CN"/>
        </w:rPr>
      </w:pPr>
      <w:r>
        <w:rPr>
          <w:rFonts w:hint="eastAsia" w:eastAsia="宋体"/>
          <w:lang w:val="en-US" w:eastAsia="zh-CN"/>
        </w:rPr>
        <w:t>收入总体情况表</w:t>
      </w:r>
    </w:p>
    <w:p>
      <w:pPr>
        <w:tabs>
          <w:tab w:val="left" w:pos="859"/>
        </w:tabs>
        <w:jc w:val="center"/>
        <w:rPr>
          <w:rFonts w:hint="eastAsia" w:eastAsia="宋体"/>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1" w:type="dxa"/>
            <w:gridSpan w:val="13"/>
            <w:tcBorders>
              <w:top w:val="nil"/>
              <w:left w:val="nil"/>
              <w:right w:val="nil"/>
            </w:tcBorders>
          </w:tcPr>
          <w:p>
            <w:pPr>
              <w:pStyle w:val="26"/>
              <w:jc w:val="both"/>
              <w:rPr>
                <w:rFonts w:hint="eastAsia"/>
                <w:lang w:val="en-US" w:eastAsia="zh-CN"/>
              </w:rPr>
            </w:pPr>
            <w:r>
              <w:rPr>
                <w:sz w:val="17"/>
                <w:szCs w:val="17"/>
              </w:rPr>
              <w:t>单位名称：</w:t>
            </w:r>
            <w:r>
              <w:rPr>
                <w:rFonts w:hint="eastAsia"/>
                <w:sz w:val="17"/>
                <w:szCs w:val="17"/>
                <w:lang w:eastAsia="zh-CN"/>
              </w:rPr>
              <w:t>环江毛南族自治县大才乡社会保障服务中心</w:t>
            </w:r>
            <w:r>
              <w:rPr>
                <w:rFonts w:hint="eastAsia"/>
                <w:lang w:val="en-US" w:eastAsia="zh-CN"/>
              </w:rPr>
              <w:t xml:space="preserve">                                                                                  </w:t>
            </w:r>
          </w:p>
        </w:tc>
        <w:tc>
          <w:tcPr>
            <w:tcW w:w="2076" w:type="dxa"/>
            <w:gridSpan w:val="3"/>
            <w:tcBorders>
              <w:top w:val="nil"/>
              <w:left w:val="nil"/>
              <w:right w:val="nil"/>
            </w:tcBorders>
          </w:tcPr>
          <w:p>
            <w:pPr>
              <w:pStyle w:val="26"/>
              <w:ind w:firstLine="340" w:firstLineChars="200"/>
              <w:jc w:val="left"/>
              <w:rPr>
                <w:rFonts w:hint="eastAsia"/>
                <w:lang w:val="en-US" w:eastAsia="zh-CN"/>
              </w:rPr>
            </w:pPr>
            <w:r>
              <w:rPr>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Merge w:val="restart"/>
          </w:tcPr>
          <w:p>
            <w:pPr>
              <w:tabs>
                <w:tab w:val="left" w:pos="859"/>
              </w:tabs>
              <w:jc w:val="both"/>
              <w:rPr>
                <w:rFonts w:hint="eastAsia" w:eastAsia="宋体"/>
                <w:vertAlign w:val="baseline"/>
                <w:lang w:val="en-US" w:eastAsia="zh-CN"/>
              </w:rPr>
            </w:pPr>
            <w:r>
              <w:rPr>
                <w:sz w:val="17"/>
                <w:szCs w:val="17"/>
              </w:rPr>
              <w:t>部门（单位）代码</w:t>
            </w:r>
          </w:p>
        </w:tc>
        <w:tc>
          <w:tcPr>
            <w:tcW w:w="1279" w:type="dxa"/>
            <w:vMerge w:val="restart"/>
          </w:tcPr>
          <w:p>
            <w:pPr>
              <w:tabs>
                <w:tab w:val="left" w:pos="859"/>
              </w:tabs>
              <w:jc w:val="both"/>
              <w:rPr>
                <w:rFonts w:hint="eastAsia" w:eastAsia="宋体"/>
                <w:vertAlign w:val="baseline"/>
                <w:lang w:val="en-US" w:eastAsia="zh-CN"/>
              </w:rPr>
            </w:pPr>
            <w:r>
              <w:rPr>
                <w:sz w:val="17"/>
                <w:szCs w:val="17"/>
              </w:rPr>
              <w:t>部门（单位）名称</w:t>
            </w:r>
          </w:p>
        </w:tc>
        <w:tc>
          <w:tcPr>
            <w:tcW w:w="990" w:type="dxa"/>
            <w:vMerge w:val="restart"/>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合</w:t>
            </w:r>
            <w:r>
              <w:rPr>
                <w:sz w:val="17"/>
                <w:szCs w:val="17"/>
              </w:rPr>
              <w:t>计</w:t>
            </w:r>
          </w:p>
        </w:tc>
        <w:tc>
          <w:tcPr>
            <w:tcW w:w="4871" w:type="dxa"/>
            <w:gridSpan w:val="5"/>
          </w:tcPr>
          <w:p>
            <w:pPr>
              <w:tabs>
                <w:tab w:val="left" w:pos="859"/>
              </w:tabs>
              <w:jc w:val="both"/>
              <w:rPr>
                <w:rFonts w:hint="eastAsia" w:eastAsia="宋体"/>
                <w:vertAlign w:val="baseline"/>
                <w:lang w:val="en-US" w:eastAsia="zh-CN"/>
              </w:rPr>
            </w:pPr>
            <w:r>
              <w:rPr>
                <w:sz w:val="17"/>
                <w:szCs w:val="17"/>
              </w:rPr>
              <w:t>本年收入</w:t>
            </w:r>
          </w:p>
        </w:tc>
        <w:tc>
          <w:tcPr>
            <w:tcW w:w="6781" w:type="dxa"/>
            <w:gridSpan w:val="8"/>
          </w:tcPr>
          <w:p>
            <w:pPr>
              <w:tabs>
                <w:tab w:val="left" w:pos="859"/>
              </w:tabs>
              <w:jc w:val="both"/>
              <w:rPr>
                <w:rFonts w:hint="eastAsia" w:eastAsia="宋体"/>
                <w:vertAlign w:val="baseline"/>
                <w:lang w:val="en-US" w:eastAsia="zh-CN"/>
              </w:rPr>
            </w:pPr>
            <w:r>
              <w:rPr>
                <w:sz w:val="17"/>
                <w:szCs w:val="17"/>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636" w:type="dxa"/>
            <w:vMerge w:val="continue"/>
          </w:tcPr>
          <w:p>
            <w:pPr>
              <w:tabs>
                <w:tab w:val="left" w:pos="859"/>
              </w:tabs>
              <w:jc w:val="both"/>
              <w:rPr>
                <w:rFonts w:hint="eastAsia" w:eastAsia="宋体"/>
                <w:vertAlign w:val="baseline"/>
                <w:lang w:val="en-US" w:eastAsia="zh-CN"/>
              </w:rPr>
            </w:pPr>
          </w:p>
        </w:tc>
        <w:tc>
          <w:tcPr>
            <w:tcW w:w="1279" w:type="dxa"/>
            <w:vMerge w:val="continue"/>
          </w:tcPr>
          <w:p>
            <w:pPr>
              <w:tabs>
                <w:tab w:val="left" w:pos="859"/>
              </w:tabs>
              <w:jc w:val="both"/>
              <w:rPr>
                <w:rFonts w:hint="eastAsia" w:eastAsia="宋体"/>
                <w:vertAlign w:val="baseline"/>
                <w:lang w:val="en-US" w:eastAsia="zh-CN"/>
              </w:rPr>
            </w:pPr>
          </w:p>
        </w:tc>
        <w:tc>
          <w:tcPr>
            <w:tcW w:w="990" w:type="dxa"/>
            <w:vMerge w:val="continue"/>
            <w:vAlign w:val="center"/>
          </w:tcPr>
          <w:p>
            <w:pPr>
              <w:pStyle w:val="24"/>
              <w:spacing w:line="240" w:lineRule="auto"/>
              <w:ind w:firstLine="300" w:firstLineChars="0"/>
              <w:jc w:val="left"/>
              <w:rPr>
                <w:rFonts w:hint="eastAsia" w:eastAsia="宋体"/>
                <w:vertAlign w:val="baseline"/>
                <w:lang w:val="en-US" w:eastAsia="zh-CN"/>
              </w:rPr>
            </w:pP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sz w:val="17"/>
                <w:szCs w:val="17"/>
              </w:rPr>
              <w:t>小计</w:t>
            </w:r>
          </w:p>
        </w:tc>
        <w:tc>
          <w:tcPr>
            <w:tcW w:w="909"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一般公共预算</w:t>
            </w:r>
          </w:p>
        </w:tc>
        <w:tc>
          <w:tcPr>
            <w:tcW w:w="116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政府性基金预算</w:t>
            </w:r>
          </w:p>
        </w:tc>
        <w:tc>
          <w:tcPr>
            <w:tcW w:w="103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44" w:type="dxa"/>
          </w:tcPr>
          <w:p>
            <w:pPr>
              <w:pStyle w:val="24"/>
              <w:spacing w:line="312" w:lineRule="exact"/>
              <w:ind w:firstLine="0"/>
              <w:jc w:val="left"/>
              <w:rPr>
                <w:sz w:val="17"/>
                <w:szCs w:val="17"/>
              </w:rPr>
            </w:pPr>
            <w:r>
              <w:rPr>
                <w:sz w:val="17"/>
                <w:szCs w:val="17"/>
              </w:rPr>
              <w:t>财政专户管理资金</w:t>
            </w:r>
          </w:p>
          <w:p>
            <w:pPr>
              <w:pStyle w:val="24"/>
              <w:spacing w:line="312" w:lineRule="exact"/>
              <w:ind w:firstLine="0" w:firstLineChars="0"/>
              <w:jc w:val="left"/>
              <w:rPr>
                <w:rFonts w:hint="eastAsia" w:eastAsia="宋体"/>
                <w:vertAlign w:val="baseline"/>
                <w:lang w:val="en-US" w:eastAsia="zh-CN"/>
              </w:rPr>
            </w:pPr>
            <w:r>
              <w:rPr>
                <w:sz w:val="17"/>
                <w:szCs w:val="17"/>
              </w:rPr>
              <w:t>收入</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sz w:val="17"/>
                <w:szCs w:val="17"/>
              </w:rPr>
              <w:t>单位资金</w:t>
            </w:r>
          </w:p>
        </w:tc>
        <w:tc>
          <w:tcPr>
            <w:tcW w:w="1035" w:type="dxa"/>
            <w:vAlign w:val="center"/>
          </w:tcPr>
          <w:p>
            <w:pPr>
              <w:pStyle w:val="24"/>
              <w:spacing w:line="240" w:lineRule="auto"/>
              <w:ind w:firstLine="300" w:firstLineChars="0"/>
              <w:jc w:val="left"/>
              <w:rPr>
                <w:rFonts w:hint="eastAsia" w:eastAsia="宋体"/>
                <w:vertAlign w:val="baseline"/>
                <w:lang w:val="en-US" w:eastAsia="zh-CN"/>
              </w:rPr>
            </w:pPr>
            <w:r>
              <w:rPr>
                <w:sz w:val="17"/>
                <w:szCs w:val="17"/>
              </w:rPr>
              <w:t>小计</w:t>
            </w:r>
          </w:p>
        </w:tc>
        <w:tc>
          <w:tcPr>
            <w:tcW w:w="101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一般公共预算</w:t>
            </w:r>
          </w:p>
        </w:tc>
        <w:tc>
          <w:tcPr>
            <w:tcW w:w="859"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政府性基金预算</w:t>
            </w:r>
          </w:p>
        </w:tc>
        <w:tc>
          <w:tcPr>
            <w:tcW w:w="1094" w:type="dxa"/>
            <w:gridSpan w:val="2"/>
            <w:vAlign w:val="center"/>
          </w:tcPr>
          <w:p>
            <w:pPr>
              <w:pStyle w:val="24"/>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72" w:type="dxa"/>
          </w:tcPr>
          <w:p>
            <w:pPr>
              <w:pStyle w:val="24"/>
              <w:spacing w:line="312" w:lineRule="exact"/>
              <w:ind w:firstLine="0"/>
              <w:jc w:val="left"/>
              <w:rPr>
                <w:sz w:val="17"/>
                <w:szCs w:val="17"/>
              </w:rPr>
            </w:pPr>
            <w:r>
              <w:rPr>
                <w:sz w:val="17"/>
                <w:szCs w:val="17"/>
              </w:rPr>
              <w:t>财政专户管理资金</w:t>
            </w:r>
          </w:p>
          <w:p>
            <w:pPr>
              <w:pStyle w:val="24"/>
              <w:spacing w:line="312" w:lineRule="exact"/>
              <w:ind w:right="280" w:rightChars="0" w:firstLine="0" w:firstLineChars="0"/>
              <w:jc w:val="left"/>
              <w:rPr>
                <w:rFonts w:hint="eastAsia" w:eastAsia="宋体"/>
                <w:vertAlign w:val="baseline"/>
                <w:lang w:val="en-US" w:eastAsia="zh-CN"/>
              </w:rPr>
            </w:pPr>
            <w:r>
              <w:rPr>
                <w:sz w:val="17"/>
                <w:szCs w:val="17"/>
              </w:rPr>
              <w:t>收入</w:t>
            </w:r>
          </w:p>
        </w:tc>
        <w:tc>
          <w:tcPr>
            <w:tcW w:w="1054" w:type="dxa"/>
            <w:vAlign w:val="center"/>
          </w:tcPr>
          <w:p>
            <w:pPr>
              <w:pStyle w:val="24"/>
              <w:spacing w:line="240" w:lineRule="auto"/>
              <w:ind w:firstLine="140" w:firstLineChars="0"/>
              <w:jc w:val="left"/>
              <w:rPr>
                <w:rFonts w:hint="eastAsia" w:eastAsia="宋体"/>
                <w:vertAlign w:val="baseline"/>
                <w:lang w:val="en-US" w:eastAsia="zh-CN"/>
              </w:rPr>
            </w:pPr>
            <w:r>
              <w:rPr>
                <w:sz w:val="17"/>
                <w:szCs w:val="17"/>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pPr>
              <w:tabs>
                <w:tab w:val="left" w:pos="859"/>
              </w:tabs>
              <w:jc w:val="both"/>
              <w:rPr>
                <w:rFonts w:hint="eastAsia" w:eastAsia="宋体"/>
                <w:vertAlign w:val="baseline"/>
                <w:lang w:val="en-US" w:eastAsia="zh-CN"/>
              </w:rPr>
            </w:pPr>
          </w:p>
        </w:tc>
        <w:tc>
          <w:tcPr>
            <w:tcW w:w="1279" w:type="dxa"/>
          </w:tcPr>
          <w:p>
            <w:pPr>
              <w:tabs>
                <w:tab w:val="left" w:pos="859"/>
              </w:tabs>
              <w:jc w:val="both"/>
              <w:rPr>
                <w:rFonts w:hint="eastAsia" w:eastAsia="宋体"/>
                <w:vertAlign w:val="baseline"/>
                <w:lang w:val="en-US" w:eastAsia="zh-CN"/>
              </w:rPr>
            </w:pPr>
          </w:p>
        </w:tc>
        <w:tc>
          <w:tcPr>
            <w:tcW w:w="990"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w:t>
            </w:r>
          </w:p>
        </w:tc>
        <w:tc>
          <w:tcPr>
            <w:tcW w:w="926"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2</w:t>
            </w:r>
          </w:p>
        </w:tc>
        <w:tc>
          <w:tcPr>
            <w:tcW w:w="90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3</w:t>
            </w:r>
          </w:p>
        </w:tc>
        <w:tc>
          <w:tcPr>
            <w:tcW w:w="1161"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4</w:t>
            </w:r>
          </w:p>
        </w:tc>
        <w:tc>
          <w:tcPr>
            <w:tcW w:w="1031"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5</w:t>
            </w:r>
          </w:p>
        </w:tc>
        <w:tc>
          <w:tcPr>
            <w:tcW w:w="844"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6</w:t>
            </w:r>
          </w:p>
        </w:tc>
        <w:tc>
          <w:tcPr>
            <w:tcW w:w="856"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7</w:t>
            </w:r>
          </w:p>
        </w:tc>
        <w:tc>
          <w:tcPr>
            <w:tcW w:w="1035"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8</w:t>
            </w:r>
          </w:p>
        </w:tc>
        <w:tc>
          <w:tcPr>
            <w:tcW w:w="1011"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9</w:t>
            </w:r>
          </w:p>
        </w:tc>
        <w:tc>
          <w:tcPr>
            <w:tcW w:w="859" w:type="dxa"/>
            <w:vAlign w:val="center"/>
          </w:tcPr>
          <w:p>
            <w:pPr>
              <w:pStyle w:val="24"/>
              <w:spacing w:line="240" w:lineRule="auto"/>
              <w:ind w:right="36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10</w:t>
            </w:r>
          </w:p>
        </w:tc>
        <w:tc>
          <w:tcPr>
            <w:tcW w:w="1094" w:type="dxa"/>
            <w:gridSpan w:val="2"/>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11</w:t>
            </w:r>
          </w:p>
        </w:tc>
        <w:tc>
          <w:tcPr>
            <w:tcW w:w="872" w:type="dxa"/>
            <w:vAlign w:val="center"/>
          </w:tcPr>
          <w:p>
            <w:pPr>
              <w:pStyle w:val="24"/>
              <w:spacing w:line="240" w:lineRule="auto"/>
              <w:ind w:right="38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12</w:t>
            </w:r>
          </w:p>
        </w:tc>
        <w:tc>
          <w:tcPr>
            <w:tcW w:w="1054" w:type="dxa"/>
            <w:vAlign w:val="center"/>
          </w:tcPr>
          <w:p>
            <w:pPr>
              <w:pStyle w:val="24"/>
              <w:spacing w:line="240" w:lineRule="auto"/>
              <w:ind w:right="42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 xml:space="preserve"> </w:t>
            </w:r>
          </w:p>
        </w:tc>
        <w:tc>
          <w:tcPr>
            <w:tcW w:w="1279" w:type="dxa"/>
          </w:tcPr>
          <w:p>
            <w:pPr>
              <w:pStyle w:val="24"/>
              <w:spacing w:line="326" w:lineRule="exact"/>
              <w:ind w:firstLine="0" w:firstLineChars="0"/>
              <w:jc w:val="left"/>
              <w:rPr>
                <w:rFonts w:hint="eastAsia" w:eastAsia="宋体"/>
                <w:vertAlign w:val="baseline"/>
                <w:lang w:val="en-US" w:eastAsia="zh-CN"/>
              </w:rPr>
            </w:pPr>
            <w:r>
              <w:rPr>
                <w:rFonts w:hint="eastAsia"/>
                <w:sz w:val="17"/>
                <w:szCs w:val="17"/>
                <w:lang w:val="en-US" w:eastAsia="zh-CN"/>
              </w:rPr>
              <w:t>合计</w:t>
            </w:r>
          </w:p>
        </w:tc>
        <w:tc>
          <w:tcPr>
            <w:tcW w:w="990"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36.55</w:t>
            </w: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36.55</w:t>
            </w:r>
          </w:p>
        </w:tc>
        <w:tc>
          <w:tcPr>
            <w:tcW w:w="909" w:type="dxa"/>
            <w:vAlign w:val="center"/>
          </w:tcPr>
          <w:p>
            <w:pPr>
              <w:pStyle w:val="24"/>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36.55</w:t>
            </w:r>
          </w:p>
        </w:tc>
        <w:tc>
          <w:tcPr>
            <w:tcW w:w="1161" w:type="dxa"/>
            <w:vAlign w:val="center"/>
          </w:tcPr>
          <w:p>
            <w:pPr>
              <w:pStyle w:val="24"/>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24"/>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24"/>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24"/>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24"/>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702005</w:t>
            </w:r>
          </w:p>
        </w:tc>
        <w:tc>
          <w:tcPr>
            <w:tcW w:w="1279" w:type="dxa"/>
          </w:tcPr>
          <w:p>
            <w:pPr>
              <w:pStyle w:val="24"/>
              <w:spacing w:line="326" w:lineRule="exact"/>
              <w:ind w:firstLine="0" w:firstLineChars="0"/>
              <w:jc w:val="left"/>
              <w:rPr>
                <w:rFonts w:hint="eastAsia" w:eastAsia="宋体"/>
                <w:vertAlign w:val="baseline"/>
                <w:lang w:val="en-US" w:eastAsia="zh-CN"/>
              </w:rPr>
            </w:pPr>
          </w:p>
        </w:tc>
        <w:tc>
          <w:tcPr>
            <w:tcW w:w="990"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36.55</w:t>
            </w: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36.55</w:t>
            </w:r>
          </w:p>
        </w:tc>
        <w:tc>
          <w:tcPr>
            <w:tcW w:w="909" w:type="dxa"/>
            <w:vAlign w:val="center"/>
          </w:tcPr>
          <w:p>
            <w:pPr>
              <w:pStyle w:val="24"/>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36.55</w:t>
            </w:r>
          </w:p>
        </w:tc>
        <w:tc>
          <w:tcPr>
            <w:tcW w:w="1161" w:type="dxa"/>
            <w:vAlign w:val="center"/>
          </w:tcPr>
          <w:p>
            <w:pPr>
              <w:pStyle w:val="24"/>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24"/>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24"/>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24"/>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24"/>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6"/>
            <w:tcBorders>
              <w:left w:val="nil"/>
              <w:bottom w:val="nil"/>
              <w:right w:val="nil"/>
            </w:tcBorders>
          </w:tcPr>
          <w:p>
            <w:pPr>
              <w:pStyle w:val="26"/>
              <w:jc w:val="left"/>
              <w:rPr>
                <w:rFonts w:hint="eastAsia" w:eastAsia="宋体"/>
                <w:vertAlign w:val="baseline"/>
                <w:lang w:val="en-US" w:eastAsia="zh-CN"/>
              </w:rPr>
            </w:pPr>
            <w:r>
              <w:t>注：本报表金额单位转换时可能存在四舍五入尾数误差。</w:t>
            </w:r>
          </w:p>
        </w:tc>
      </w:tr>
    </w:tbl>
    <w:p>
      <w:pPr>
        <w:tabs>
          <w:tab w:val="left" w:pos="859"/>
        </w:tabs>
        <w:jc w:val="both"/>
        <w:rPr>
          <w:rFonts w:hint="eastAsia" w:eastAsia="宋体"/>
          <w:lang w:val="en-US" w:eastAsia="zh-CN"/>
        </w:rPr>
      </w:pPr>
    </w:p>
    <w:p>
      <w:pPr>
        <w:tabs>
          <w:tab w:val="left" w:pos="859"/>
        </w:tabs>
        <w:jc w:val="center"/>
        <w:rPr>
          <w:rFonts w:hint="eastAsia" w:eastAsia="宋体"/>
          <w:lang w:val="en-US" w:eastAsia="zh-CN"/>
        </w:rPr>
      </w:pPr>
    </w:p>
    <w:p>
      <w:pPr>
        <w:tabs>
          <w:tab w:val="left" w:pos="859"/>
        </w:tabs>
        <w:jc w:val="both"/>
        <w:rPr>
          <w:rFonts w:hint="eastAsia" w:eastAsia="宋体"/>
          <w:lang w:val="en-US" w:eastAsia="zh-CN"/>
        </w:rPr>
      </w:pPr>
    </w:p>
    <w:p>
      <w:pPr>
        <w:spacing w:line="1" w:lineRule="exact"/>
        <w:jc w:val="left"/>
        <w:rPr>
          <w:lang w:eastAsia="zh-CN"/>
        </w:rPr>
        <w:sectPr>
          <w:headerReference r:id="rId8" w:type="default"/>
          <w:footerReference r:id="rId9" w:type="default"/>
          <w:pgSz w:w="16840" w:h="11900" w:orient="landscape"/>
          <w:pgMar w:top="2709" w:right="764" w:bottom="2709" w:left="735" w:header="2281" w:footer="1474" w:gutter="0"/>
          <w:pgBorders>
            <w:top w:val="none" w:sz="0" w:space="0"/>
            <w:left w:val="none" w:sz="0" w:space="0"/>
            <w:bottom w:val="none" w:sz="0" w:space="0"/>
            <w:right w:val="none" w:sz="0" w:space="0"/>
          </w:pgBorders>
          <w:pgNumType w:fmt="decimal"/>
          <w:cols w:space="720" w:num="1"/>
          <w:docGrid w:linePitch="360" w:charSpace="0"/>
        </w:sectPr>
      </w:pPr>
    </w:p>
    <w:p>
      <w:pPr>
        <w:pStyle w:val="22"/>
        <w:keepNext/>
        <w:keepLines/>
        <w:spacing w:after="240"/>
        <w:jc w:val="center"/>
      </w:pPr>
      <w:bookmarkStart w:id="19" w:name="bookmark41"/>
      <w:bookmarkStart w:id="20" w:name="bookmark43"/>
      <w:bookmarkStart w:id="21" w:name="bookmark42"/>
      <w:r>
        <w:t>支出总体情况表</w:t>
      </w:r>
      <w:bookmarkEnd w:id="19"/>
      <w:bookmarkEnd w:id="20"/>
      <w:bookmarkEnd w:id="21"/>
    </w:p>
    <w:tbl>
      <w:tblPr>
        <w:tblStyle w:val="4"/>
        <w:tblW w:w="0" w:type="auto"/>
        <w:tblInd w:w="0" w:type="dxa"/>
        <w:tblLayout w:type="fixed"/>
        <w:tblCellMar>
          <w:top w:w="0" w:type="dxa"/>
          <w:left w:w="10" w:type="dxa"/>
          <w:bottom w:w="0" w:type="dxa"/>
          <w:right w:w="10" w:type="dxa"/>
        </w:tblCellMar>
      </w:tblPr>
      <w:tblGrid>
        <w:gridCol w:w="1843"/>
        <w:gridCol w:w="1934"/>
        <w:gridCol w:w="2390"/>
        <w:gridCol w:w="2280"/>
        <w:gridCol w:w="2299"/>
        <w:gridCol w:w="2222"/>
        <w:gridCol w:w="2371"/>
      </w:tblGrid>
      <w:tr>
        <w:tblPrEx>
          <w:tblCellMar>
            <w:top w:w="0" w:type="dxa"/>
            <w:left w:w="10" w:type="dxa"/>
            <w:bottom w:w="0" w:type="dxa"/>
            <w:right w:w="10" w:type="dxa"/>
          </w:tblCellMar>
        </w:tblPrEx>
        <w:trPr>
          <w:trHeight w:val="346" w:hRule="exact"/>
        </w:trPr>
        <w:tc>
          <w:tcPr>
            <w:tcW w:w="12968" w:type="dxa"/>
            <w:gridSpan w:val="6"/>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环江毛南族自治县大才乡社会保障服务中心</w:t>
            </w:r>
          </w:p>
        </w:tc>
        <w:tc>
          <w:tcPr>
            <w:tcW w:w="2371" w:type="dxa"/>
            <w:shd w:val="clear" w:color="auto" w:fill="FFFFFF"/>
          </w:tcPr>
          <w:p>
            <w:pPr>
              <w:pStyle w:val="24"/>
              <w:spacing w:line="240" w:lineRule="auto"/>
              <w:ind w:firstLine="1190" w:firstLineChars="700"/>
              <w:jc w:val="left"/>
              <w:rPr>
                <w:sz w:val="17"/>
                <w:szCs w:val="17"/>
              </w:rPr>
            </w:pPr>
            <w:r>
              <w:rPr>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vAlign w:val="center"/>
          </w:tcPr>
          <w:p>
            <w:pPr>
              <w:pStyle w:val="24"/>
              <w:spacing w:after="120" w:line="240" w:lineRule="auto"/>
              <w:ind w:firstLine="0"/>
              <w:jc w:val="left"/>
              <w:rPr>
                <w:sz w:val="17"/>
                <w:szCs w:val="17"/>
              </w:rPr>
            </w:pPr>
            <w:r>
              <w:rPr>
                <w:sz w:val="17"/>
                <w:szCs w:val="17"/>
              </w:rPr>
              <w:t>部门（单位）名称</w:t>
            </w:r>
          </w:p>
          <w:p>
            <w:pPr>
              <w:pStyle w:val="24"/>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sz w:val="17"/>
                <w:szCs w:val="17"/>
              </w:rPr>
            </w:pPr>
            <w:r>
              <w:rPr>
                <w:sz w:val="17"/>
                <w:szCs w:val="17"/>
              </w:rPr>
              <w:t>结转下年支出</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36.55</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36.55</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702005</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36.55</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36.55</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2012999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其他群众团体事务支出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0.36</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0.36</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2080109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社会保险经办机构</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28.12</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28.12</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2080505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机关事业单位基本养老保险缴费支出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4.32</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4.32</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2210201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住房公积金</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3.76</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3.76</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bl>
    <w:p>
      <w:pPr>
        <w:pStyle w:val="26"/>
        <w:ind w:left="672"/>
        <w:jc w:val="left"/>
      </w:pPr>
      <w:r>
        <w:t>注：本报表金额单位转换时可能存在四舍五入尾数误差。</w:t>
      </w:r>
      <w:r>
        <w:br w:type="page"/>
      </w:r>
    </w:p>
    <w:p>
      <w:pPr>
        <w:pStyle w:val="22"/>
        <w:keepNext/>
        <w:keepLines/>
        <w:spacing w:after="240"/>
        <w:jc w:val="center"/>
      </w:pPr>
      <w:bookmarkStart w:id="22" w:name="bookmark44"/>
      <w:bookmarkStart w:id="23" w:name="bookmark46"/>
      <w:bookmarkStart w:id="24" w:name="bookmark45"/>
      <w:r>
        <w:t>财政拨款收支总体情况表</w:t>
      </w:r>
      <w:bookmarkEnd w:id="22"/>
      <w:bookmarkEnd w:id="23"/>
      <w:bookmarkEnd w:id="24"/>
    </w:p>
    <w:tbl>
      <w:tblPr>
        <w:tblStyle w:val="4"/>
        <w:tblW w:w="0" w:type="auto"/>
        <w:tblInd w:w="0" w:type="dxa"/>
        <w:tblLayout w:type="fixed"/>
        <w:tblCellMar>
          <w:top w:w="0" w:type="dxa"/>
          <w:left w:w="10" w:type="dxa"/>
          <w:bottom w:w="0" w:type="dxa"/>
          <w:right w:w="10" w:type="dxa"/>
        </w:tblCellMar>
      </w:tblPr>
      <w:tblGrid>
        <w:gridCol w:w="2885"/>
        <w:gridCol w:w="955"/>
        <w:gridCol w:w="3830"/>
        <w:gridCol w:w="3826"/>
        <w:gridCol w:w="3845"/>
        <w:gridCol w:w="1"/>
      </w:tblGrid>
      <w:tr>
        <w:tblPrEx>
          <w:tblCellMar>
            <w:top w:w="0" w:type="dxa"/>
            <w:left w:w="10" w:type="dxa"/>
            <w:bottom w:w="0" w:type="dxa"/>
            <w:right w:w="10" w:type="dxa"/>
          </w:tblCellMar>
        </w:tblPrEx>
        <w:trPr>
          <w:gridAfter w:val="1"/>
          <w:wAfter w:w="1" w:type="dxa"/>
          <w:trHeight w:val="346" w:hRule="exact"/>
        </w:trPr>
        <w:tc>
          <w:tcPr>
            <w:tcW w:w="11496" w:type="dxa"/>
            <w:gridSpan w:val="4"/>
            <w:shd w:val="clear" w:color="auto" w:fill="FFFFFF"/>
          </w:tcPr>
          <w:p>
            <w:pPr>
              <w:pStyle w:val="24"/>
              <w:spacing w:line="240" w:lineRule="auto"/>
              <w:ind w:firstLine="0"/>
              <w:jc w:val="left"/>
              <w:rPr>
                <w:rFonts w:hint="default"/>
                <w:sz w:val="17"/>
                <w:szCs w:val="17"/>
                <w:lang w:val="en-US"/>
              </w:rPr>
            </w:pPr>
            <w:r>
              <w:rPr>
                <w:sz w:val="17"/>
                <w:szCs w:val="17"/>
              </w:rPr>
              <w:t>单位名称：</w:t>
            </w:r>
            <w:r>
              <w:rPr>
                <w:rFonts w:hint="eastAsia"/>
                <w:sz w:val="17"/>
                <w:szCs w:val="17"/>
                <w:lang w:eastAsia="zh-CN"/>
              </w:rPr>
              <w:t>环江毛南族自治县大才乡社会保障服务中心</w:t>
            </w:r>
            <w:r>
              <w:rPr>
                <w:rFonts w:hint="eastAsia"/>
                <w:sz w:val="17"/>
                <w:szCs w:val="17"/>
                <w:lang w:val="en-US" w:eastAsia="zh-CN"/>
              </w:rPr>
              <w:t xml:space="preserve">                         </w:t>
            </w:r>
          </w:p>
        </w:tc>
        <w:tc>
          <w:tcPr>
            <w:tcW w:w="3845" w:type="dxa"/>
            <w:shd w:val="clear" w:color="auto" w:fill="FFFFFF"/>
          </w:tcPr>
          <w:p>
            <w:pPr>
              <w:pStyle w:val="24"/>
              <w:spacing w:line="240" w:lineRule="auto"/>
              <w:jc w:val="left"/>
              <w:rPr>
                <w:sz w:val="17"/>
                <w:szCs w:val="17"/>
              </w:rPr>
            </w:pPr>
            <w:r>
              <w:rPr>
                <w:sz w:val="17"/>
                <w:szCs w:val="17"/>
              </w:rPr>
              <w:t>单位：万元</w:t>
            </w:r>
          </w:p>
        </w:tc>
      </w:tr>
      <w:tr>
        <w:tblPrEx>
          <w:tblCellMar>
            <w:top w:w="0" w:type="dxa"/>
            <w:left w:w="10" w:type="dxa"/>
            <w:bottom w:w="0" w:type="dxa"/>
            <w:right w:w="10" w:type="dxa"/>
          </w:tblCellMar>
        </w:tblPrEx>
        <w:trPr>
          <w:gridAfter w:val="1"/>
          <w:wAfter w:w="1" w:type="dxa"/>
          <w:trHeight w:val="437" w:hRule="exact"/>
        </w:trPr>
        <w:tc>
          <w:tcPr>
            <w:tcW w:w="2885" w:type="dxa"/>
            <w:tcBorders>
              <w:top w:val="single" w:color="auto" w:sz="4" w:space="0"/>
              <w:left w:val="single" w:color="auto" w:sz="4" w:space="0"/>
            </w:tcBorders>
            <w:shd w:val="clear" w:color="auto" w:fill="FFFFFF"/>
          </w:tcPr>
          <w:p>
            <w:pPr>
              <w:jc w:val="left"/>
              <w:rPr>
                <w:sz w:val="10"/>
                <w:szCs w:val="10"/>
              </w:rPr>
            </w:pPr>
          </w:p>
        </w:tc>
        <w:tc>
          <w:tcPr>
            <w:tcW w:w="955" w:type="dxa"/>
            <w:tcBorders>
              <w:top w:val="single" w:color="auto" w:sz="4" w:space="0"/>
            </w:tcBorders>
            <w:shd w:val="clear" w:color="auto" w:fill="FFFFFF"/>
            <w:vAlign w:val="center"/>
          </w:tcPr>
          <w:p>
            <w:pPr>
              <w:pStyle w:val="24"/>
              <w:spacing w:line="240" w:lineRule="auto"/>
              <w:ind w:firstLine="0"/>
              <w:jc w:val="left"/>
              <w:rPr>
                <w:sz w:val="17"/>
                <w:szCs w:val="17"/>
              </w:rPr>
            </w:pPr>
            <w:r>
              <w:rPr>
                <w:sz w:val="17"/>
                <w:szCs w:val="17"/>
              </w:rPr>
              <w:t>收</w:t>
            </w:r>
          </w:p>
        </w:tc>
        <w:tc>
          <w:tcPr>
            <w:tcW w:w="3830" w:type="dxa"/>
            <w:tcBorders>
              <w:top w:val="single" w:color="auto" w:sz="4" w:space="0"/>
            </w:tcBorders>
            <w:shd w:val="clear" w:color="auto" w:fill="FFFFFF"/>
            <w:vAlign w:val="center"/>
          </w:tcPr>
          <w:p>
            <w:pPr>
              <w:pStyle w:val="24"/>
              <w:spacing w:line="240" w:lineRule="auto"/>
              <w:ind w:firstLine="340"/>
              <w:jc w:val="left"/>
              <w:rPr>
                <w:sz w:val="17"/>
                <w:szCs w:val="17"/>
              </w:rPr>
            </w:pPr>
            <w:r>
              <w:rPr>
                <w:sz w:val="17"/>
                <w:szCs w:val="17"/>
              </w:rPr>
              <w:t>入</w:t>
            </w:r>
          </w:p>
        </w:tc>
        <w:tc>
          <w:tcPr>
            <w:tcW w:w="3826" w:type="dxa"/>
            <w:tcBorders>
              <w:top w:val="single" w:color="auto" w:sz="4" w:space="0"/>
              <w:left w:val="single" w:color="auto" w:sz="4" w:space="0"/>
            </w:tcBorders>
            <w:shd w:val="clear" w:color="auto" w:fill="FFFFFF"/>
            <w:vAlign w:val="center"/>
          </w:tcPr>
          <w:p>
            <w:pPr>
              <w:pStyle w:val="24"/>
              <w:spacing w:line="240" w:lineRule="auto"/>
              <w:ind w:right="340" w:firstLine="2720" w:firstLineChars="1600"/>
              <w:jc w:val="left"/>
              <w:rPr>
                <w:sz w:val="17"/>
                <w:szCs w:val="17"/>
              </w:rPr>
            </w:pPr>
            <w:r>
              <w:rPr>
                <w:sz w:val="17"/>
                <w:szCs w:val="17"/>
              </w:rPr>
              <w:t>支</w:t>
            </w:r>
          </w:p>
        </w:tc>
        <w:tc>
          <w:tcPr>
            <w:tcW w:w="3845" w:type="dxa"/>
            <w:tcBorders>
              <w:top w:val="single" w:color="auto" w:sz="4" w:space="0"/>
              <w:right w:val="single" w:color="auto" w:sz="4" w:space="0"/>
            </w:tcBorders>
            <w:shd w:val="clear" w:color="auto" w:fill="FFFFFF"/>
            <w:vAlign w:val="center"/>
          </w:tcPr>
          <w:p>
            <w:pPr>
              <w:pStyle w:val="24"/>
              <w:spacing w:line="240" w:lineRule="auto"/>
              <w:ind w:firstLine="935" w:firstLineChars="550"/>
              <w:jc w:val="left"/>
              <w:rPr>
                <w:sz w:val="17"/>
                <w:szCs w:val="17"/>
              </w:rPr>
            </w:pPr>
            <w:r>
              <w:rPr>
                <w:sz w:val="17"/>
                <w:szCs w:val="17"/>
              </w:rPr>
              <w:t>出</w:t>
            </w:r>
          </w:p>
        </w:tc>
      </w:tr>
      <w:tr>
        <w:tblPrEx>
          <w:tblCellMar>
            <w:top w:w="0" w:type="dxa"/>
            <w:left w:w="10" w:type="dxa"/>
            <w:bottom w:w="0" w:type="dxa"/>
            <w:right w:w="10" w:type="dxa"/>
          </w:tblCellMar>
        </w:tblPrEx>
        <w:trPr>
          <w:gridAfter w:val="1"/>
          <w:wAfter w:w="1" w:type="dxa"/>
          <w:trHeight w:val="451" w:hRule="exact"/>
        </w:trPr>
        <w:tc>
          <w:tcPr>
            <w:tcW w:w="3840" w:type="dxa"/>
            <w:gridSpan w:val="2"/>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项目</w:t>
            </w:r>
          </w:p>
        </w:tc>
        <w:tc>
          <w:tcPr>
            <w:tcW w:w="3830" w:type="dxa"/>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c>
          <w:tcPr>
            <w:tcW w:w="3826" w:type="dxa"/>
            <w:tcBorders>
              <w:top w:val="single" w:color="auto" w:sz="4" w:space="0"/>
              <w:left w:val="single" w:color="auto" w:sz="4" w:space="0"/>
            </w:tcBorders>
            <w:shd w:val="clear" w:color="auto" w:fill="FFFFFF"/>
            <w:vAlign w:val="center"/>
          </w:tcPr>
          <w:p>
            <w:pPr>
              <w:pStyle w:val="24"/>
              <w:tabs>
                <w:tab w:val="left" w:pos="1034"/>
              </w:tabs>
              <w:spacing w:line="240" w:lineRule="auto"/>
              <w:ind w:firstLine="540"/>
              <w:jc w:val="center"/>
              <w:rPr>
                <w:sz w:val="17"/>
                <w:szCs w:val="17"/>
              </w:rPr>
            </w:pPr>
            <w:r>
              <w:rPr>
                <w:sz w:val="17"/>
                <w:szCs w:val="17"/>
              </w:rPr>
              <w:t>项</w:t>
            </w:r>
            <w:r>
              <w:rPr>
                <w:sz w:val="17"/>
                <w:szCs w:val="17"/>
              </w:rPr>
              <w:tab/>
            </w:r>
            <w:r>
              <w:rPr>
                <w:sz w:val="17"/>
                <w:szCs w:val="17"/>
              </w:rPr>
              <w:t>目（按支出功能科目分类）</w:t>
            </w:r>
          </w:p>
        </w:tc>
        <w:tc>
          <w:tcPr>
            <w:tcW w:w="3845" w:type="dxa"/>
            <w:tcBorders>
              <w:top w:val="single" w:color="auto" w:sz="4" w:space="0"/>
              <w:left w:val="single" w:color="auto" w:sz="4" w:space="0"/>
              <w:righ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36.55</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一、一般公共服务支出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0.36</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二、外交支出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36.55</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四、公共安全支出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五、教育支出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六、科学技术支出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七、文化旅游体育与传媒支出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八、社会保障和就业支出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32.44</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九、卫生健康支出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十、节能环保支出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十一、城乡社区支出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十二、农林水支出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十三、交通运输支出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十四、资源勘探工业信息等支出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十五、商业服务业等支出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十六、金融支出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十七、援助其他地区支出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十八、自然资源海洋气象等支出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十九、住房保障支出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3.76</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二十、粮油物资储备支出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二十一、国有资本经营预算支出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二十二、灾害防治及应急管理支出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二十三、其他支出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二十四、债务还本支出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二十五、债务付息支出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二十六、债务发行费用支出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36.55</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本年支出合计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36.55</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结转下年支出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36.55</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支出总计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36.55</w:t>
            </w:r>
          </w:p>
        </w:tc>
      </w:tr>
      <w:tr>
        <w:tblPrEx>
          <w:tblCellMar>
            <w:top w:w="0" w:type="dxa"/>
            <w:left w:w="10" w:type="dxa"/>
            <w:bottom w:w="0" w:type="dxa"/>
            <w:right w:w="10" w:type="dxa"/>
          </w:tblCellMar>
        </w:tblPrEx>
        <w:trPr>
          <w:trHeight w:val="352" w:hRule="exact"/>
        </w:trPr>
        <w:tc>
          <w:tcPr>
            <w:tcW w:w="15342" w:type="dxa"/>
            <w:gridSpan w:val="6"/>
            <w:tcBorders>
              <w:top w:val="single" w:color="auto" w:sz="4" w:space="0"/>
            </w:tcBorders>
            <w:shd w:val="clear" w:color="auto" w:fill="FFFFFF"/>
          </w:tcPr>
          <w:p>
            <w:pPr>
              <w:jc w:val="left"/>
              <w:rPr>
                <w:sz w:val="10"/>
                <w:szCs w:val="10"/>
                <w:lang w:eastAsia="zh-CN"/>
              </w:rPr>
            </w:pPr>
            <w:r>
              <w:rPr>
                <w:sz w:val="17"/>
                <w:szCs w:val="17"/>
              </w:rPr>
              <w:t>注：表中功能分类科目，根据各部门实际预算编制情况编列。</w:t>
            </w:r>
          </w:p>
        </w:tc>
      </w:tr>
      <w:tr>
        <w:tblPrEx>
          <w:tblCellMar>
            <w:top w:w="0" w:type="dxa"/>
            <w:left w:w="10" w:type="dxa"/>
            <w:bottom w:w="0" w:type="dxa"/>
            <w:right w:w="10" w:type="dxa"/>
          </w:tblCellMar>
        </w:tblPrEx>
        <w:trPr>
          <w:trHeight w:val="274" w:hRule="exact"/>
        </w:trPr>
        <w:tc>
          <w:tcPr>
            <w:tcW w:w="15342" w:type="dxa"/>
            <w:gridSpan w:val="6"/>
            <w:shd w:val="clear" w:color="auto" w:fill="FFFFFF"/>
            <w:vAlign w:val="bottom"/>
          </w:tcPr>
          <w:p>
            <w:pPr>
              <w:jc w:val="left"/>
              <w:rPr>
                <w:sz w:val="10"/>
                <w:szCs w:val="10"/>
                <w:lang w:eastAsia="zh-CN"/>
              </w:rPr>
            </w:pPr>
            <w:r>
              <w:rPr>
                <w:sz w:val="17"/>
                <w:szCs w:val="17"/>
              </w:rPr>
              <w:t>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一般公共预算支出情况表</w:t>
      </w:r>
    </w:p>
    <w:p>
      <w:pPr>
        <w:jc w:val="center"/>
        <w:rPr>
          <w:rFonts w:hint="eastAsia"/>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1653"/>
        <w:gridCol w:w="1635"/>
        <w:gridCol w:w="1716"/>
        <w:gridCol w:w="1965"/>
        <w:gridCol w:w="1729"/>
        <w:gridCol w:w="1714"/>
        <w:gridCol w:w="72"/>
        <w:gridCol w:w="1689"/>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6" w:type="dxa"/>
            <w:gridSpan w:val="7"/>
            <w:tcBorders>
              <w:top w:val="nil"/>
              <w:left w:val="nil"/>
              <w:right w:val="nil"/>
            </w:tcBorders>
          </w:tcPr>
          <w:p>
            <w:pPr>
              <w:jc w:val="left"/>
              <w:rPr>
                <w:rFonts w:hint="eastAsia"/>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环江毛南族自治县大才乡社会保障服务中心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restart"/>
          </w:tcPr>
          <w:p>
            <w:pPr>
              <w:jc w:val="center"/>
              <w:rPr>
                <w:rFonts w:hint="eastAsia"/>
                <w:vertAlign w:val="baseline"/>
                <w:lang w:eastAsia="zh-CN"/>
              </w:rPr>
            </w:pPr>
            <w:r>
              <w:rPr>
                <w:sz w:val="17"/>
                <w:szCs w:val="17"/>
              </w:rPr>
              <w:t>科目编码</w:t>
            </w:r>
          </w:p>
        </w:tc>
        <w:tc>
          <w:tcPr>
            <w:tcW w:w="1676" w:type="dxa"/>
            <w:vMerge w:val="restart"/>
          </w:tcPr>
          <w:p>
            <w:pPr>
              <w:jc w:val="center"/>
              <w:rPr>
                <w:rFonts w:hint="eastAsia"/>
                <w:vertAlign w:val="baseline"/>
                <w:lang w:eastAsia="zh-CN"/>
              </w:rPr>
            </w:pPr>
            <w:r>
              <w:rPr>
                <w:sz w:val="17"/>
                <w:szCs w:val="17"/>
              </w:rPr>
              <w:t>部门（单位）代码</w:t>
            </w:r>
          </w:p>
        </w:tc>
        <w:tc>
          <w:tcPr>
            <w:tcW w:w="1662" w:type="dxa"/>
            <w:vMerge w:val="restart"/>
          </w:tcPr>
          <w:p>
            <w:pPr>
              <w:pStyle w:val="24"/>
              <w:spacing w:after="120" w:line="240" w:lineRule="auto"/>
              <w:ind w:firstLine="0"/>
              <w:jc w:val="center"/>
              <w:rPr>
                <w:sz w:val="17"/>
                <w:szCs w:val="17"/>
              </w:rPr>
            </w:pPr>
            <w:r>
              <w:rPr>
                <w:sz w:val="17"/>
                <w:szCs w:val="17"/>
              </w:rPr>
              <w:t>部门（单位）名称</w:t>
            </w:r>
          </w:p>
          <w:p>
            <w:pPr>
              <w:jc w:val="center"/>
              <w:rPr>
                <w:rFonts w:hint="eastAsia"/>
                <w:vertAlign w:val="baseline"/>
                <w:lang w:eastAsia="zh-CN"/>
              </w:rPr>
            </w:pPr>
            <w:r>
              <w:rPr>
                <w:sz w:val="17"/>
                <w:szCs w:val="17"/>
              </w:rPr>
              <w:t>（功能分类科目名称）</w:t>
            </w:r>
          </w:p>
        </w:tc>
        <w:tc>
          <w:tcPr>
            <w:tcW w:w="1717" w:type="dxa"/>
            <w:vMerge w:val="restart"/>
          </w:tcPr>
          <w:p>
            <w:pPr>
              <w:jc w:val="center"/>
              <w:rPr>
                <w:rFonts w:hint="eastAsia"/>
                <w:vertAlign w:val="baseline"/>
                <w:lang w:eastAsia="zh-CN"/>
              </w:rPr>
            </w:pPr>
            <w:r>
              <w:rPr>
                <w:sz w:val="17"/>
                <w:szCs w:val="17"/>
              </w:rPr>
              <w:t>合计</w:t>
            </w:r>
          </w:p>
        </w:tc>
        <w:tc>
          <w:tcPr>
            <w:tcW w:w="5398" w:type="dxa"/>
            <w:gridSpan w:val="4"/>
          </w:tcPr>
          <w:p>
            <w:pPr>
              <w:jc w:val="center"/>
              <w:rPr>
                <w:rFonts w:hint="eastAsia"/>
                <w:vertAlign w:val="baseline"/>
                <w:lang w:eastAsia="zh-CN"/>
              </w:rPr>
            </w:pPr>
            <w:r>
              <w:rPr>
                <w:sz w:val="17"/>
                <w:szCs w:val="17"/>
              </w:rPr>
              <w:t>基本支出</w:t>
            </w:r>
          </w:p>
        </w:tc>
        <w:tc>
          <w:tcPr>
            <w:tcW w:w="1694" w:type="dxa"/>
            <w:vMerge w:val="restart"/>
          </w:tcPr>
          <w:p>
            <w:pPr>
              <w:jc w:val="center"/>
              <w:rPr>
                <w:rFonts w:hint="eastAsia"/>
                <w:vertAlign w:val="baseline"/>
                <w:lang w:eastAsia="zh-CN"/>
              </w:rPr>
            </w:pPr>
            <w:r>
              <w:rPr>
                <w:sz w:val="17"/>
                <w:szCs w:val="17"/>
              </w:rPr>
              <w:t>项目支出</w:t>
            </w:r>
          </w:p>
        </w:tc>
        <w:tc>
          <w:tcPr>
            <w:tcW w:w="1695" w:type="dxa"/>
            <w:vMerge w:val="restart"/>
          </w:tcPr>
          <w:p>
            <w:pPr>
              <w:jc w:val="center"/>
              <w:rPr>
                <w:rFonts w:hint="eastAsia"/>
                <w:vertAlign w:val="baseline"/>
                <w:lang w:eastAsia="zh-CN"/>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continue"/>
          </w:tcPr>
          <w:p>
            <w:pPr>
              <w:jc w:val="center"/>
              <w:rPr>
                <w:rFonts w:hint="eastAsia"/>
                <w:vertAlign w:val="baseline"/>
                <w:lang w:eastAsia="zh-CN"/>
              </w:rPr>
            </w:pPr>
          </w:p>
        </w:tc>
        <w:tc>
          <w:tcPr>
            <w:tcW w:w="1676" w:type="dxa"/>
            <w:vMerge w:val="continue"/>
          </w:tcPr>
          <w:p>
            <w:pPr>
              <w:jc w:val="center"/>
              <w:rPr>
                <w:rFonts w:hint="eastAsia"/>
                <w:vertAlign w:val="baseline"/>
                <w:lang w:eastAsia="zh-CN"/>
              </w:rPr>
            </w:pPr>
          </w:p>
        </w:tc>
        <w:tc>
          <w:tcPr>
            <w:tcW w:w="1662" w:type="dxa"/>
            <w:vMerge w:val="continue"/>
          </w:tcPr>
          <w:p>
            <w:pPr>
              <w:jc w:val="center"/>
              <w:rPr>
                <w:rFonts w:hint="eastAsia"/>
                <w:vertAlign w:val="baseline"/>
                <w:lang w:eastAsia="zh-CN"/>
              </w:rPr>
            </w:pPr>
          </w:p>
        </w:tc>
        <w:tc>
          <w:tcPr>
            <w:tcW w:w="1717" w:type="dxa"/>
            <w:vMerge w:val="continue"/>
          </w:tcPr>
          <w:p>
            <w:pPr>
              <w:jc w:val="center"/>
              <w:rPr>
                <w:rFonts w:hint="eastAsia"/>
                <w:vertAlign w:val="baseline"/>
                <w:lang w:eastAsia="zh-CN"/>
              </w:rPr>
            </w:pPr>
          </w:p>
        </w:tc>
        <w:tc>
          <w:tcPr>
            <w:tcW w:w="1879" w:type="dxa"/>
            <w:vAlign w:val="center"/>
          </w:tcPr>
          <w:p>
            <w:pPr>
              <w:pStyle w:val="24"/>
              <w:spacing w:line="240" w:lineRule="auto"/>
              <w:ind w:firstLine="0" w:firstLineChars="0"/>
              <w:jc w:val="center"/>
              <w:rPr>
                <w:rFonts w:hint="eastAsia"/>
                <w:vertAlign w:val="baseline"/>
                <w:lang w:eastAsia="zh-CN"/>
              </w:rPr>
            </w:pPr>
            <w:r>
              <w:rPr>
                <w:sz w:val="17"/>
                <w:szCs w:val="17"/>
              </w:rPr>
              <w:t>小计</w:t>
            </w:r>
          </w:p>
        </w:tc>
        <w:tc>
          <w:tcPr>
            <w:tcW w:w="1729" w:type="dxa"/>
            <w:vAlign w:val="center"/>
          </w:tcPr>
          <w:p>
            <w:pPr>
              <w:pStyle w:val="24"/>
              <w:spacing w:line="240" w:lineRule="auto"/>
              <w:ind w:firstLine="0" w:firstLineChars="0"/>
              <w:jc w:val="center"/>
              <w:rPr>
                <w:rFonts w:hint="eastAsia"/>
                <w:vertAlign w:val="baseline"/>
                <w:lang w:eastAsia="zh-CN"/>
              </w:rPr>
            </w:pPr>
            <w:r>
              <w:rPr>
                <w:sz w:val="17"/>
                <w:szCs w:val="17"/>
              </w:rPr>
              <w:t>人员经费</w:t>
            </w:r>
          </w:p>
        </w:tc>
        <w:tc>
          <w:tcPr>
            <w:tcW w:w="1790" w:type="dxa"/>
            <w:gridSpan w:val="2"/>
            <w:vAlign w:val="center"/>
          </w:tcPr>
          <w:p>
            <w:pPr>
              <w:pStyle w:val="24"/>
              <w:spacing w:line="240" w:lineRule="auto"/>
              <w:ind w:firstLine="440" w:firstLineChars="0"/>
              <w:jc w:val="center"/>
              <w:rPr>
                <w:rFonts w:hint="eastAsia"/>
                <w:vertAlign w:val="baseline"/>
                <w:lang w:eastAsia="zh-CN"/>
              </w:rPr>
            </w:pPr>
            <w:r>
              <w:rPr>
                <w:sz w:val="17"/>
                <w:szCs w:val="17"/>
              </w:rPr>
              <w:t>公用经费</w:t>
            </w:r>
          </w:p>
        </w:tc>
        <w:tc>
          <w:tcPr>
            <w:tcW w:w="1694" w:type="dxa"/>
            <w:vMerge w:val="continue"/>
          </w:tcPr>
          <w:p>
            <w:pPr>
              <w:jc w:val="center"/>
              <w:rPr>
                <w:rFonts w:hint="eastAsia"/>
                <w:vertAlign w:val="baseline"/>
                <w:lang w:eastAsia="zh-CN"/>
              </w:rPr>
            </w:pPr>
          </w:p>
        </w:tc>
        <w:tc>
          <w:tcPr>
            <w:tcW w:w="1695" w:type="dxa"/>
            <w:vMerge w:val="continue"/>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1</w:t>
            </w:r>
          </w:p>
        </w:tc>
        <w:tc>
          <w:tcPr>
            <w:tcW w:w="187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2</w:t>
            </w:r>
          </w:p>
        </w:tc>
        <w:tc>
          <w:tcPr>
            <w:tcW w:w="172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3</w:t>
            </w:r>
          </w:p>
        </w:tc>
        <w:tc>
          <w:tcPr>
            <w:tcW w:w="1790" w:type="dxa"/>
            <w:gridSpan w:val="2"/>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4</w:t>
            </w:r>
          </w:p>
        </w:tc>
        <w:tc>
          <w:tcPr>
            <w:tcW w:w="1694" w:type="dxa"/>
            <w:vAlign w:val="center"/>
          </w:tcPr>
          <w:p>
            <w:pPr>
              <w:pStyle w:val="24"/>
              <w:spacing w:line="240" w:lineRule="auto"/>
              <w:ind w:firstLine="660" w:firstLineChars="0"/>
              <w:jc w:val="center"/>
              <w:rPr>
                <w:rFonts w:hint="eastAsia"/>
                <w:vertAlign w:val="baseline"/>
                <w:lang w:eastAsia="zh-CN"/>
              </w:rPr>
            </w:pPr>
            <w:r>
              <w:rPr>
                <w:rFonts w:ascii="Times New Roman" w:hAnsi="Times New Roman" w:eastAsia="Times New Roman" w:cs="Times New Roman"/>
                <w:b/>
                <w:bCs/>
                <w:sz w:val="17"/>
                <w:szCs w:val="17"/>
              </w:rPr>
              <w:t>5</w:t>
            </w:r>
          </w:p>
        </w:tc>
        <w:tc>
          <w:tcPr>
            <w:tcW w:w="1695" w:type="dxa"/>
            <w:vAlign w:val="center"/>
          </w:tcPr>
          <w:p>
            <w:pPr>
              <w:pStyle w:val="24"/>
              <w:spacing w:line="240" w:lineRule="auto"/>
              <w:ind w:right="700" w:rightChars="0" w:firstLine="0" w:firstLineChars="0"/>
              <w:jc w:val="center"/>
              <w:rPr>
                <w:rFonts w:hint="eastAsia"/>
                <w:vertAlign w:val="baseline"/>
                <w:lang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p>
        </w:tc>
        <w:tc>
          <w:tcPr>
            <w:tcW w:w="1676"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702005</w:t>
            </w:r>
          </w:p>
        </w:tc>
        <w:tc>
          <w:tcPr>
            <w:tcW w:w="1662" w:type="dxa"/>
            <w:vAlign w:val="center"/>
          </w:tcPr>
          <w:p>
            <w:pPr>
              <w:pStyle w:val="24"/>
              <w:spacing w:line="240" w:lineRule="auto"/>
              <w:ind w:firstLine="0" w:firstLineChars="0"/>
              <w:jc w:val="center"/>
              <w:rPr>
                <w:rFonts w:hint="eastAsia"/>
                <w:vertAlign w:val="baseline"/>
                <w:lang w:eastAsia="zh-CN"/>
              </w:rPr>
            </w:pP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36.55</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36.56</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35.48</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1.08</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2012999</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其他群众团体事务支出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0.36</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0.36</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0.36</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2080109</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社会保险经办机构</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28.12</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28.12</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27.40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0.72</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2080505</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机关事业单位基本养老保险缴费支出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4.32</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4.32</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4.32</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2210201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住房公积金</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3.76</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3.76</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3.76</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0"/>
            <w:tcBorders>
              <w:left w:val="nil"/>
              <w:bottom w:val="nil"/>
              <w:right w:val="nil"/>
            </w:tcBorders>
          </w:tcPr>
          <w:p>
            <w:pPr>
              <w:jc w:val="left"/>
              <w:rPr>
                <w:rFonts w:hint="eastAsia"/>
                <w:vertAlign w:val="baseline"/>
                <w:lang w:eastAsia="zh-CN"/>
              </w:rPr>
            </w:pPr>
            <w:r>
              <w:rPr>
                <w:sz w:val="16"/>
                <w:szCs w:val="16"/>
              </w:rPr>
              <w:t>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pPr>
      <w:bookmarkStart w:id="25" w:name="bookmark57"/>
      <w:bookmarkStart w:id="26" w:name="bookmark58"/>
      <w:bookmarkStart w:id="27" w:name="bookmark56"/>
      <w:r>
        <w:t>一般公共预算基本支出情况表</w:t>
      </w:r>
      <w:bookmarkEnd w:id="25"/>
      <w:bookmarkEnd w:id="26"/>
      <w:bookmarkEnd w:id="27"/>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111"/>
        <w:gridCol w:w="3111"/>
        <w:gridCol w:w="3112"/>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4" w:type="dxa"/>
            <w:gridSpan w:val="4"/>
            <w:tcBorders>
              <w:top w:val="nil"/>
              <w:left w:val="nil"/>
              <w:right w:val="nil"/>
            </w:tcBorders>
          </w:tcPr>
          <w:p>
            <w:pPr>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环江毛南族自治县大才乡社会保障服务中心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221" w:type="dxa"/>
            <w:gridSpan w:val="2"/>
          </w:tcPr>
          <w:p>
            <w:pPr>
              <w:jc w:val="left"/>
              <w:rPr>
                <w:vertAlign w:val="baseline"/>
                <w:lang w:eastAsia="zh-CN"/>
              </w:rPr>
            </w:pPr>
            <w:r>
              <w:rPr>
                <w:sz w:val="17"/>
                <w:szCs w:val="17"/>
              </w:rPr>
              <w:t>部门预算支出经济分类科目</w:t>
            </w:r>
          </w:p>
        </w:tc>
        <w:tc>
          <w:tcPr>
            <w:tcW w:w="9336" w:type="dxa"/>
            <w:gridSpan w:val="3"/>
          </w:tcPr>
          <w:p>
            <w:pPr>
              <w:jc w:val="left"/>
              <w:rPr>
                <w:vertAlign w:val="baseline"/>
                <w:lang w:eastAsia="zh-CN"/>
              </w:rPr>
            </w:pPr>
            <w:r>
              <w:rPr>
                <w:sz w:val="17"/>
                <w:szCs w:val="17"/>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10" w:type="dxa"/>
            <w:vAlign w:val="center"/>
          </w:tcPr>
          <w:p>
            <w:pPr>
              <w:pStyle w:val="24"/>
              <w:spacing w:line="240" w:lineRule="auto"/>
              <w:ind w:firstLine="0" w:firstLineChars="0"/>
              <w:jc w:val="center"/>
              <w:rPr>
                <w:vertAlign w:val="baseline"/>
                <w:lang w:eastAsia="zh-CN"/>
              </w:rPr>
            </w:pPr>
            <w:r>
              <w:rPr>
                <w:sz w:val="17"/>
                <w:szCs w:val="17"/>
              </w:rPr>
              <w:t>科目编码</w:t>
            </w:r>
          </w:p>
        </w:tc>
        <w:tc>
          <w:tcPr>
            <w:tcW w:w="3111" w:type="dxa"/>
            <w:vAlign w:val="center"/>
          </w:tcPr>
          <w:p>
            <w:pPr>
              <w:pStyle w:val="24"/>
              <w:spacing w:line="240" w:lineRule="auto"/>
              <w:ind w:firstLine="0" w:firstLineChars="0"/>
              <w:jc w:val="center"/>
              <w:rPr>
                <w:vertAlign w:val="baseline"/>
                <w:lang w:eastAsia="zh-CN"/>
              </w:rPr>
            </w:pPr>
            <w:r>
              <w:rPr>
                <w:sz w:val="17"/>
                <w:szCs w:val="17"/>
              </w:rPr>
              <w:t>科目名称</w:t>
            </w:r>
          </w:p>
        </w:tc>
        <w:tc>
          <w:tcPr>
            <w:tcW w:w="3111" w:type="dxa"/>
            <w:vAlign w:val="center"/>
          </w:tcPr>
          <w:p>
            <w:pPr>
              <w:pStyle w:val="24"/>
              <w:spacing w:line="240" w:lineRule="auto"/>
              <w:ind w:firstLine="0" w:firstLineChars="0"/>
              <w:jc w:val="center"/>
              <w:rPr>
                <w:vertAlign w:val="baseline"/>
                <w:lang w:eastAsia="zh-CN"/>
              </w:rPr>
            </w:pPr>
            <w:r>
              <w:rPr>
                <w:sz w:val="17"/>
                <w:szCs w:val="17"/>
              </w:rPr>
              <w:t>合计</w:t>
            </w:r>
          </w:p>
        </w:tc>
        <w:tc>
          <w:tcPr>
            <w:tcW w:w="3112" w:type="dxa"/>
            <w:vAlign w:val="center"/>
          </w:tcPr>
          <w:p>
            <w:pPr>
              <w:pStyle w:val="24"/>
              <w:spacing w:line="240" w:lineRule="auto"/>
              <w:ind w:firstLine="0" w:firstLineChars="0"/>
              <w:jc w:val="center"/>
              <w:rPr>
                <w:vertAlign w:val="baseline"/>
                <w:lang w:eastAsia="zh-CN"/>
              </w:rPr>
            </w:pPr>
            <w:r>
              <w:rPr>
                <w:sz w:val="17"/>
                <w:szCs w:val="17"/>
              </w:rPr>
              <w:t>人员经费</w:t>
            </w:r>
          </w:p>
        </w:tc>
        <w:tc>
          <w:tcPr>
            <w:tcW w:w="3113" w:type="dxa"/>
            <w:vAlign w:val="center"/>
          </w:tcPr>
          <w:p>
            <w:pPr>
              <w:pStyle w:val="24"/>
              <w:spacing w:line="240" w:lineRule="auto"/>
              <w:ind w:firstLine="0" w:firstLineChars="0"/>
              <w:jc w:val="center"/>
              <w:rPr>
                <w:vertAlign w:val="baseline"/>
                <w:lang w:eastAsia="zh-CN"/>
              </w:rPr>
            </w:pPr>
            <w:r>
              <w:rPr>
                <w:sz w:val="17"/>
                <w:szCs w:val="17"/>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 xml:space="preserve"> </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合计</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36.56</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35.48</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工资福利支出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35.48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35.48</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基本工资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11.52</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11.52</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津贴补贴</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2.48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2.48</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奖金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5.99</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5.99</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30107</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绩效工资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5.49</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5.49</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机关事业单位基本养老保险缴费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4.32</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4.32</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30110</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职工基本医疗保险缴费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1.73</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1.73</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其他社会保障缴费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0.19</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0.19</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住房公积金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3.76</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3.76</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商品和服务支出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办公费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0.20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差旅费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0.32</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工会经费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0.36</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30299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其他商品和服务支出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0.20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rPr>
          <w:rFonts w:hint="default"/>
          <w:sz w:val="28"/>
          <w:szCs w:val="28"/>
          <w:lang w:val="en-US" w:eastAsia="zh-CN"/>
        </w:rPr>
      </w:pPr>
      <w:bookmarkStart w:id="28" w:name="bookmark67"/>
      <w:bookmarkStart w:id="29" w:name="bookmark66"/>
      <w:bookmarkStart w:id="30" w:name="bookmark65"/>
      <w:r>
        <w:rPr>
          <w:rFonts w:hint="default"/>
          <w:sz w:val="28"/>
          <w:szCs w:val="28"/>
          <w:lang w:val="en-US" w:eastAsia="zh-CN"/>
        </w:rPr>
        <w:t>一般公共预算“三公”经费预算表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918"/>
        <w:gridCol w:w="1884"/>
        <w:gridCol w:w="1895"/>
        <w:gridCol w:w="1888"/>
        <w:gridCol w:w="1890"/>
        <w:gridCol w:w="1895"/>
        <w:gridCol w:w="2"/>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6" w:type="dxa"/>
            <w:gridSpan w:val="7"/>
            <w:tcBorders>
              <w:top w:val="nil"/>
              <w:left w:val="nil"/>
              <w:right w:val="nil"/>
            </w:tcBorders>
          </w:tcPr>
          <w:p>
            <w:pPr>
              <w:pStyle w:val="26"/>
              <w:bidi w:val="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环江毛南族自治县大才乡社会保障服务中心                                           </w:t>
            </w:r>
            <w:r>
              <w:rPr>
                <w:rFonts w:hint="eastAsia"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1891" w:type="dxa"/>
            <w:gridSpan w:val="2"/>
            <w:tcBorders>
              <w:top w:val="nil"/>
              <w:left w:val="nil"/>
              <w:right w:val="nil"/>
            </w:tcBorders>
          </w:tcPr>
          <w:p>
            <w:pPr>
              <w:pStyle w:val="26"/>
              <w:bidi w:val="0"/>
              <w:ind w:firstLine="480" w:firstLineChars="30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restart"/>
          </w:tcPr>
          <w:p>
            <w:pPr>
              <w:pStyle w:val="26"/>
              <w:bidi w:val="0"/>
              <w:jc w:val="center"/>
              <w:rPr>
                <w:rFonts w:hint="eastAsia"/>
                <w:vertAlign w:val="baseline"/>
                <w:lang w:val="en-US" w:eastAsia="zh-CN"/>
              </w:rPr>
            </w:pPr>
            <w:r>
              <w:rPr>
                <w:sz w:val="17"/>
                <w:szCs w:val="17"/>
              </w:rPr>
              <w:t>门（单位）代码</w:t>
            </w:r>
          </w:p>
        </w:tc>
        <w:tc>
          <w:tcPr>
            <w:tcW w:w="1918" w:type="dxa"/>
            <w:vMerge w:val="restart"/>
          </w:tcPr>
          <w:p>
            <w:pPr>
              <w:pStyle w:val="26"/>
              <w:bidi w:val="0"/>
              <w:jc w:val="center"/>
              <w:rPr>
                <w:rFonts w:hint="eastAsia"/>
                <w:vertAlign w:val="baseline"/>
                <w:lang w:val="en-US" w:eastAsia="zh-CN"/>
              </w:rPr>
            </w:pPr>
            <w:r>
              <w:rPr>
                <w:sz w:val="17"/>
                <w:szCs w:val="17"/>
              </w:rPr>
              <w:t>部门（单位）名称</w:t>
            </w:r>
          </w:p>
        </w:tc>
        <w:tc>
          <w:tcPr>
            <w:tcW w:w="11343" w:type="dxa"/>
            <w:gridSpan w:val="7"/>
          </w:tcPr>
          <w:p>
            <w:pPr>
              <w:pStyle w:val="26"/>
              <w:bidi w:val="0"/>
              <w:jc w:val="center"/>
              <w:rPr>
                <w:rFonts w:hint="eastAsia"/>
                <w:vertAlign w:val="baseline"/>
                <w:lang w:val="en-US" w:eastAsia="zh-CN"/>
              </w:rPr>
            </w:pPr>
            <w:r>
              <w:rPr>
                <w:sz w:val="17"/>
                <w:szCs w:val="17"/>
                <w:lang w:val="zh-CN" w:eastAsia="zh-CN" w:bidi="zh-CN"/>
              </w:rPr>
              <w:t>“三</w:t>
            </w:r>
            <w:r>
              <w:rPr>
                <w:sz w:val="17"/>
                <w:szCs w:val="17"/>
              </w:rPr>
              <w:t>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restart"/>
          </w:tcPr>
          <w:p>
            <w:pPr>
              <w:pStyle w:val="26"/>
              <w:bidi w:val="0"/>
              <w:jc w:val="center"/>
              <w:rPr>
                <w:rFonts w:hint="eastAsia"/>
                <w:vertAlign w:val="baseline"/>
                <w:lang w:val="en-US" w:eastAsia="zh-CN"/>
              </w:rPr>
            </w:pPr>
            <w:r>
              <w:rPr>
                <w:sz w:val="17"/>
                <w:szCs w:val="17"/>
              </w:rPr>
              <w:t>合计</w:t>
            </w:r>
          </w:p>
        </w:tc>
        <w:tc>
          <w:tcPr>
            <w:tcW w:w="1895" w:type="dxa"/>
            <w:vMerge w:val="restart"/>
          </w:tcPr>
          <w:p>
            <w:pPr>
              <w:pStyle w:val="26"/>
              <w:bidi w:val="0"/>
              <w:jc w:val="center"/>
              <w:rPr>
                <w:rFonts w:hint="eastAsia"/>
                <w:vertAlign w:val="baseline"/>
                <w:lang w:val="en-US" w:eastAsia="zh-CN"/>
              </w:rPr>
            </w:pPr>
            <w:r>
              <w:rPr>
                <w:sz w:val="17"/>
                <w:szCs w:val="17"/>
              </w:rPr>
              <w:t>因公出国（境）费</w:t>
            </w:r>
          </w:p>
        </w:tc>
        <w:tc>
          <w:tcPr>
            <w:tcW w:w="5675" w:type="dxa"/>
            <w:gridSpan w:val="4"/>
          </w:tcPr>
          <w:p>
            <w:pPr>
              <w:pStyle w:val="26"/>
              <w:bidi w:val="0"/>
              <w:jc w:val="center"/>
              <w:rPr>
                <w:rFonts w:hint="eastAsia"/>
                <w:vertAlign w:val="baseline"/>
                <w:lang w:val="en-US" w:eastAsia="zh-CN"/>
              </w:rPr>
            </w:pPr>
            <w:r>
              <w:rPr>
                <w:sz w:val="17"/>
                <w:szCs w:val="17"/>
              </w:rPr>
              <w:t>公务用车购置及运行维护费</w:t>
            </w:r>
          </w:p>
        </w:tc>
        <w:tc>
          <w:tcPr>
            <w:tcW w:w="1889" w:type="dxa"/>
            <w:vMerge w:val="restart"/>
          </w:tcPr>
          <w:p>
            <w:pPr>
              <w:pStyle w:val="26"/>
              <w:bidi w:val="0"/>
              <w:jc w:val="center"/>
              <w:rPr>
                <w:rFonts w:hint="eastAsia"/>
                <w:vertAlign w:val="baseline"/>
                <w:lang w:val="en-US" w:eastAsia="zh-CN"/>
              </w:rPr>
            </w:pPr>
            <w:r>
              <w:rPr>
                <w:sz w:val="17"/>
                <w:szCs w:val="17"/>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continue"/>
          </w:tcPr>
          <w:p>
            <w:pPr>
              <w:pStyle w:val="26"/>
              <w:bidi w:val="0"/>
              <w:jc w:val="center"/>
              <w:rPr>
                <w:rFonts w:hint="eastAsia"/>
                <w:vertAlign w:val="baseline"/>
                <w:lang w:val="en-US" w:eastAsia="zh-CN"/>
              </w:rPr>
            </w:pPr>
          </w:p>
        </w:tc>
        <w:tc>
          <w:tcPr>
            <w:tcW w:w="1895" w:type="dxa"/>
            <w:vMerge w:val="continue"/>
          </w:tcPr>
          <w:p>
            <w:pPr>
              <w:pStyle w:val="26"/>
              <w:bidi w:val="0"/>
              <w:jc w:val="center"/>
              <w:rPr>
                <w:rFonts w:hint="eastAsia"/>
                <w:vertAlign w:val="baseline"/>
                <w:lang w:val="en-US" w:eastAsia="zh-CN"/>
              </w:rPr>
            </w:pPr>
          </w:p>
        </w:tc>
        <w:tc>
          <w:tcPr>
            <w:tcW w:w="1888" w:type="dxa"/>
            <w:vAlign w:val="center"/>
          </w:tcPr>
          <w:p>
            <w:pPr>
              <w:pStyle w:val="24"/>
              <w:spacing w:line="240" w:lineRule="auto"/>
              <w:ind w:firstLine="0" w:firstLineChars="0"/>
              <w:jc w:val="center"/>
              <w:rPr>
                <w:rFonts w:hint="eastAsia"/>
                <w:vertAlign w:val="baseline"/>
                <w:lang w:val="en-US" w:eastAsia="zh-CN"/>
              </w:rPr>
            </w:pPr>
            <w:r>
              <w:rPr>
                <w:sz w:val="17"/>
                <w:szCs w:val="17"/>
              </w:rPr>
              <w:t>小计</w:t>
            </w:r>
          </w:p>
        </w:tc>
        <w:tc>
          <w:tcPr>
            <w:tcW w:w="1890" w:type="dxa"/>
            <w:vAlign w:val="center"/>
          </w:tcPr>
          <w:p>
            <w:pPr>
              <w:pStyle w:val="24"/>
              <w:spacing w:line="240" w:lineRule="auto"/>
              <w:ind w:firstLine="220" w:firstLineChars="0"/>
              <w:jc w:val="center"/>
              <w:rPr>
                <w:rFonts w:hint="eastAsia"/>
                <w:vertAlign w:val="baseline"/>
                <w:lang w:val="en-US" w:eastAsia="zh-CN"/>
              </w:rPr>
            </w:pPr>
            <w:r>
              <w:rPr>
                <w:sz w:val="17"/>
                <w:szCs w:val="17"/>
              </w:rPr>
              <w:t>公务用车运行维护费</w:t>
            </w:r>
          </w:p>
        </w:tc>
        <w:tc>
          <w:tcPr>
            <w:tcW w:w="1897" w:type="dxa"/>
            <w:gridSpan w:val="2"/>
            <w:vAlign w:val="center"/>
          </w:tcPr>
          <w:p>
            <w:pPr>
              <w:pStyle w:val="24"/>
              <w:spacing w:line="240" w:lineRule="auto"/>
              <w:ind w:firstLine="400" w:firstLineChars="0"/>
              <w:jc w:val="center"/>
              <w:rPr>
                <w:rFonts w:hint="eastAsia"/>
                <w:vertAlign w:val="baseline"/>
                <w:lang w:val="en-US" w:eastAsia="zh-CN"/>
              </w:rPr>
            </w:pPr>
            <w:r>
              <w:rPr>
                <w:sz w:val="17"/>
                <w:szCs w:val="17"/>
              </w:rPr>
              <w:t>公务用车购置费</w:t>
            </w:r>
          </w:p>
        </w:tc>
        <w:tc>
          <w:tcPr>
            <w:tcW w:w="1889" w:type="dxa"/>
            <w:vMerge w:val="continue"/>
          </w:tcPr>
          <w:p>
            <w:pPr>
              <w:pStyle w:val="26"/>
              <w:bidi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1</w:t>
            </w:r>
          </w:p>
        </w:tc>
        <w:tc>
          <w:tcPr>
            <w:tcW w:w="1895"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2</w:t>
            </w:r>
          </w:p>
        </w:tc>
        <w:tc>
          <w:tcPr>
            <w:tcW w:w="1888"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3</w:t>
            </w:r>
          </w:p>
        </w:tc>
        <w:tc>
          <w:tcPr>
            <w:tcW w:w="1890"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4</w:t>
            </w:r>
          </w:p>
        </w:tc>
        <w:tc>
          <w:tcPr>
            <w:tcW w:w="1897" w:type="dxa"/>
            <w:gridSpan w:val="2"/>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5</w:t>
            </w:r>
          </w:p>
        </w:tc>
        <w:tc>
          <w:tcPr>
            <w:tcW w:w="1889"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pStyle w:val="24"/>
              <w:spacing w:line="240" w:lineRule="auto"/>
              <w:ind w:firstLine="0" w:firstLineChars="0"/>
              <w:jc w:val="left"/>
              <w:rPr>
                <w:rFonts w:hint="eastAsia"/>
                <w:vertAlign w:val="baseline"/>
                <w:lang w:val="en-US" w:eastAsia="zh-CN"/>
              </w:rPr>
            </w:pPr>
            <w:r>
              <w:rPr>
                <w:rFonts w:hint="eastAsia" w:ascii="Times New Roman" w:hAnsi="Times New Roman" w:eastAsia="Times New Roman" w:cs="Times New Roman"/>
                <w:b/>
                <w:bCs/>
                <w:sz w:val="17"/>
                <w:szCs w:val="17"/>
                <w:lang w:val="en-US" w:eastAsia="zh-CN"/>
              </w:rPr>
              <w:t>702005</w:t>
            </w:r>
          </w:p>
        </w:tc>
        <w:tc>
          <w:tcPr>
            <w:tcW w:w="1918" w:type="dxa"/>
            <w:vAlign w:val="center"/>
          </w:tcPr>
          <w:p>
            <w:pPr>
              <w:pStyle w:val="24"/>
              <w:spacing w:line="240" w:lineRule="auto"/>
              <w:ind w:firstLine="0" w:firstLineChars="0"/>
              <w:jc w:val="left"/>
              <w:rPr>
                <w:rFonts w:hint="eastAsia"/>
                <w:vertAlign w:val="baseline"/>
                <w:lang w:val="en-US" w:eastAsia="zh-CN"/>
              </w:rPr>
            </w:pPr>
          </w:p>
        </w:tc>
        <w:tc>
          <w:tcPr>
            <w:tcW w:w="1884"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5"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8"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0"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7" w:type="dxa"/>
            <w:gridSpan w:val="2"/>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9"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557" w:type="dxa"/>
            <w:gridSpan w:val="9"/>
            <w:tcBorders>
              <w:left w:val="nil"/>
              <w:bottom w:val="nil"/>
              <w:right w:val="nil"/>
            </w:tcBorders>
          </w:tcPr>
          <w:p>
            <w:pPr>
              <w:pStyle w:val="26"/>
              <w:bidi w:val="0"/>
              <w:jc w:val="both"/>
              <w:rPr>
                <w:rFonts w:hint="eastAsia"/>
                <w:vertAlign w:val="baseline"/>
                <w:lang w:val="en-US" w:eastAsia="zh-CN"/>
              </w:rPr>
            </w:pPr>
            <w:r>
              <w:rPr>
                <w:rFonts w:hint="eastAsia" w:ascii="宋体" w:hAnsi="宋体" w:eastAsia="宋体" w:cs="宋体"/>
                <w:sz w:val="16"/>
                <w:szCs w:val="16"/>
              </w:rPr>
              <w:t>注：本报表金额单位转换时可能存在四舍五入尾数误差</w:t>
            </w:r>
          </w:p>
        </w:tc>
      </w:tr>
    </w:tbl>
    <w:p>
      <w:pPr>
        <w:pStyle w:val="26"/>
        <w:bidi w:val="0"/>
        <w:rPr>
          <w:rFonts w:hint="eastAsia"/>
          <w:lang w:val="en-US" w:eastAsia="zh-CN"/>
        </w:rP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6"/>
        <w:bidi w:val="0"/>
      </w:pPr>
    </w:p>
    <w:p>
      <w:pPr>
        <w:pStyle w:val="22"/>
        <w:keepNext/>
        <w:keepLines/>
        <w:spacing w:after="240"/>
        <w:jc w:val="center"/>
      </w:pPr>
      <w:r>
        <w:t>政府性基金预算支出情况表</w:t>
      </w:r>
      <w:bookmarkEnd w:id="28"/>
      <w:bookmarkEnd w:id="29"/>
      <w:bookmarkEnd w:id="3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环江毛南族自治县大才乡社会保障服务中心</w:t>
            </w:r>
            <w:r>
              <w:tab/>
            </w:r>
            <w:r>
              <w:t>单位：万元</w:t>
            </w:r>
          </w:p>
        </w:tc>
        <w:tc>
          <w:tcPr>
            <w:tcW w:w="2163" w:type="dxa"/>
            <w:tcBorders>
              <w:top w:val="nil"/>
              <w:left w:val="nil"/>
              <w:right w:val="nil"/>
            </w:tcBorders>
          </w:tcPr>
          <w:p>
            <w:pPr>
              <w:pStyle w:val="26"/>
              <w:tabs>
                <w:tab w:val="left" w:pos="14213"/>
              </w:tabs>
              <w:ind w:left="101" w:firstLine="680" w:firstLineChars="400"/>
              <w:jc w:val="left"/>
            </w:pPr>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pStyle w:val="26"/>
              <w:bidi w:val="0"/>
              <w:jc w:val="center"/>
              <w:rPr>
                <w:vertAlign w:val="baseline"/>
              </w:rPr>
            </w:pPr>
            <w:r>
              <w:rPr>
                <w:sz w:val="17"/>
                <w:szCs w:val="17"/>
              </w:rPr>
              <w:t>科目编码</w:t>
            </w:r>
          </w:p>
        </w:tc>
        <w:tc>
          <w:tcPr>
            <w:tcW w:w="2161" w:type="dxa"/>
          </w:tcPr>
          <w:p>
            <w:pPr>
              <w:pStyle w:val="26"/>
              <w:bidi w:val="0"/>
              <w:jc w:val="center"/>
              <w:rPr>
                <w:vertAlign w:val="baseline"/>
              </w:rPr>
            </w:pPr>
            <w:r>
              <w:rPr>
                <w:sz w:val="17"/>
                <w:szCs w:val="17"/>
              </w:rPr>
              <w:t>部门（单位）代码</w:t>
            </w:r>
          </w:p>
        </w:tc>
        <w:tc>
          <w:tcPr>
            <w:tcW w:w="2162" w:type="dxa"/>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2012999</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其他群众团体事务支出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2080109</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社会保险经办机构</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2080505</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机关事业单位基本养老保险缴费支出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2210201</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住房公积金</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bidi w:val="0"/>
              <w:jc w:val="both"/>
              <w:rPr>
                <w:vertAlign w:val="baseline"/>
              </w:rPr>
            </w:pPr>
            <w:r>
              <w:t>注：本报表金额单位转换时可能存在四舍五入尾数误差</w:t>
            </w:r>
          </w:p>
        </w:tc>
      </w:tr>
    </w:tbl>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jc w:val="center"/>
        <w:rPr>
          <w:sz w:val="28"/>
          <w:szCs w:val="28"/>
        </w:rPr>
      </w:pPr>
      <w:r>
        <w:rPr>
          <w:sz w:val="28"/>
          <w:szCs w:val="28"/>
        </w:rPr>
        <w:t>国有资本经营预算支出情况表</w:t>
      </w:r>
    </w:p>
    <w:p>
      <w:pPr>
        <w:pStyle w:val="26"/>
        <w:bidi w:val="0"/>
        <w:jc w:val="center"/>
        <w:rPr>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环江毛南族自治县大才乡社会保障服务中心</w:t>
            </w:r>
            <w:r>
              <w:tab/>
            </w:r>
            <w:r>
              <w:t>单位：万元</w:t>
            </w:r>
          </w:p>
        </w:tc>
        <w:tc>
          <w:tcPr>
            <w:tcW w:w="2163" w:type="dxa"/>
            <w:tcBorders>
              <w:top w:val="nil"/>
              <w:left w:val="nil"/>
              <w:right w:val="nil"/>
            </w:tcBorders>
          </w:tcPr>
          <w:p>
            <w:pPr>
              <w:pStyle w:val="26"/>
              <w:tabs>
                <w:tab w:val="left" w:pos="14213"/>
              </w:tabs>
              <w:ind w:left="101"/>
              <w:jc w:val="left"/>
            </w:pPr>
            <w:r>
              <w:rPr>
                <w:rFonts w:hint="eastAsia" w:ascii="宋体" w:hAnsi="宋体" w:eastAsia="宋体" w:cs="宋体"/>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restart"/>
          </w:tcPr>
          <w:p>
            <w:pPr>
              <w:pStyle w:val="26"/>
              <w:bidi w:val="0"/>
              <w:jc w:val="center"/>
              <w:rPr>
                <w:vertAlign w:val="baseline"/>
              </w:rPr>
            </w:pPr>
            <w:r>
              <w:rPr>
                <w:sz w:val="17"/>
                <w:szCs w:val="17"/>
              </w:rPr>
              <w:t>科目编码</w:t>
            </w:r>
          </w:p>
        </w:tc>
        <w:tc>
          <w:tcPr>
            <w:tcW w:w="2161" w:type="dxa"/>
            <w:vMerge w:val="restart"/>
          </w:tcPr>
          <w:p>
            <w:pPr>
              <w:pStyle w:val="26"/>
              <w:bidi w:val="0"/>
              <w:jc w:val="center"/>
              <w:rPr>
                <w:vertAlign w:val="baseline"/>
              </w:rPr>
            </w:pPr>
            <w:r>
              <w:rPr>
                <w:sz w:val="17"/>
                <w:szCs w:val="17"/>
              </w:rPr>
              <w:t>部门（单位）代码</w:t>
            </w:r>
          </w:p>
        </w:tc>
        <w:tc>
          <w:tcPr>
            <w:tcW w:w="2162" w:type="dxa"/>
            <w:vMerge w:val="restart"/>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continue"/>
          </w:tcPr>
          <w:p>
            <w:pPr>
              <w:pStyle w:val="26"/>
              <w:bidi w:val="0"/>
              <w:jc w:val="both"/>
              <w:rPr>
                <w:vertAlign w:val="baseline"/>
              </w:rPr>
            </w:pPr>
          </w:p>
        </w:tc>
        <w:tc>
          <w:tcPr>
            <w:tcW w:w="2161" w:type="dxa"/>
            <w:vMerge w:val="continue"/>
          </w:tcPr>
          <w:p>
            <w:pPr>
              <w:pStyle w:val="26"/>
              <w:bidi w:val="0"/>
              <w:jc w:val="both"/>
              <w:rPr>
                <w:vertAlign w:val="baseline"/>
              </w:rPr>
            </w:pPr>
          </w:p>
        </w:tc>
        <w:tc>
          <w:tcPr>
            <w:tcW w:w="2162" w:type="dxa"/>
            <w:vMerge w:val="continue"/>
          </w:tcPr>
          <w:p>
            <w:pPr>
              <w:pStyle w:val="26"/>
              <w:bidi w:val="0"/>
              <w:jc w:val="both"/>
              <w:rPr>
                <w:vertAlign w:val="baseline"/>
              </w:rPr>
            </w:pPr>
          </w:p>
        </w:tc>
        <w:tc>
          <w:tcPr>
            <w:tcW w:w="2222"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1</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2</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3</w:t>
            </w:r>
          </w:p>
        </w:tc>
        <w:tc>
          <w:tcPr>
            <w:tcW w:w="2163"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24"/>
              <w:spacing w:line="240" w:lineRule="auto"/>
              <w:ind w:firstLine="0" w:firstLineChars="0"/>
              <w:jc w:val="left"/>
              <w:rPr>
                <w:vertAlign w:val="baseline"/>
              </w:rPr>
            </w:pPr>
            <w:r>
              <w:rPr>
                <w:sz w:val="17"/>
                <w:szCs w:val="17"/>
              </w:rPr>
              <w:t>合计</w:t>
            </w:r>
          </w:p>
        </w:tc>
        <w:tc>
          <w:tcPr>
            <w:tcW w:w="2222" w:type="dxa"/>
            <w:vAlign w:val="center"/>
          </w:tcPr>
          <w:p>
            <w:pPr>
              <w:pStyle w:val="24"/>
              <w:spacing w:line="240" w:lineRule="auto"/>
              <w:ind w:left="1700" w:leftChars="0"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3"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spacing w:line="302" w:lineRule="exact"/>
              <w:ind w:left="672"/>
              <w:jc w:val="left"/>
            </w:pPr>
            <w:r>
              <w:t>注：本报表金额单位转换时可能存在四舍五入尾数误差。本部门</w:t>
            </w:r>
            <w:r>
              <w:rPr>
                <w:rFonts w:hint="eastAsia" w:ascii="Times New Roman" w:hAnsi="Times New Roman" w:cs="Times New Roman"/>
                <w:b/>
                <w:bCs/>
                <w:lang w:eastAsia="zh-CN"/>
              </w:rPr>
              <w:t>2024</w:t>
            </w:r>
            <w:r>
              <w:rPr>
                <w:rFonts w:ascii="Times New Roman" w:hAnsi="Times New Roman" w:cs="Times New Roman"/>
                <w:b/>
                <w:u w:color="auto"/>
              </w:rPr>
              <w:t>年</w:t>
            </w:r>
            <w:r>
              <w:t>度没有国有资本经营预算支出，故本表无数据</w:t>
            </w:r>
          </w:p>
          <w:p>
            <w:pPr>
              <w:pStyle w:val="26"/>
              <w:bidi w:val="0"/>
              <w:jc w:val="both"/>
              <w:rPr>
                <w:vertAlign w:val="baseline"/>
              </w:rPr>
            </w:pPr>
          </w:p>
        </w:tc>
      </w:tr>
    </w:tbl>
    <w:p>
      <w:pPr>
        <w:pStyle w:val="26"/>
        <w:bidi w:val="0"/>
      </w:pPr>
    </w:p>
    <w:p>
      <w:r>
        <w:br w:type="page"/>
      </w:r>
    </w:p>
    <w:p>
      <w:pPr>
        <w:pStyle w:val="22"/>
        <w:keepNext/>
        <w:keepLines/>
        <w:spacing w:after="240"/>
        <w:jc w:val="center"/>
        <w:rPr>
          <w:rFonts w:hint="default" w:eastAsia="宋体"/>
          <w:lang w:val="en-US" w:eastAsia="zh-CN"/>
        </w:rPr>
      </w:pPr>
      <w:r>
        <w:rPr>
          <w:rFonts w:hint="eastAsia"/>
          <w:lang w:val="en-US" w:eastAsia="zh-CN"/>
        </w:rPr>
        <w:t>2024年度预算项目绩效目标公开表</w:t>
      </w:r>
    </w:p>
    <w:tbl>
      <w:tblPr>
        <w:tblStyle w:val="4"/>
        <w:tblW w:w="0" w:type="auto"/>
        <w:tblInd w:w="0" w:type="dxa"/>
        <w:tblLayout w:type="fixed"/>
        <w:tblCellMar>
          <w:top w:w="0" w:type="dxa"/>
          <w:left w:w="10" w:type="dxa"/>
          <w:bottom w:w="0" w:type="dxa"/>
          <w:right w:w="10" w:type="dxa"/>
        </w:tblCellMar>
      </w:tblPr>
      <w:tblGrid>
        <w:gridCol w:w="1843"/>
        <w:gridCol w:w="2559"/>
        <w:gridCol w:w="3350"/>
        <w:gridCol w:w="1511"/>
        <w:gridCol w:w="6076"/>
      </w:tblGrid>
      <w:tr>
        <w:tblPrEx>
          <w:tblCellMar>
            <w:top w:w="0" w:type="dxa"/>
            <w:left w:w="10" w:type="dxa"/>
            <w:bottom w:w="0" w:type="dxa"/>
            <w:right w:w="10" w:type="dxa"/>
          </w:tblCellMar>
        </w:tblPrEx>
        <w:trPr>
          <w:trHeight w:val="346" w:hRule="exact"/>
        </w:trPr>
        <w:tc>
          <w:tcPr>
            <w:tcW w:w="9263" w:type="dxa"/>
            <w:gridSpan w:val="4"/>
            <w:shd w:val="clear" w:color="auto" w:fill="FFFFFF"/>
          </w:tcPr>
          <w:p>
            <w:pPr>
              <w:pStyle w:val="24"/>
              <w:spacing w:line="240" w:lineRule="auto"/>
              <w:ind w:firstLine="0"/>
              <w:jc w:val="left"/>
              <w:rPr>
                <w:rFonts w:hint="default" w:ascii="宋体" w:hAnsi="宋体" w:eastAsia="宋体" w:cs="宋体"/>
                <w:sz w:val="17"/>
                <w:szCs w:val="17"/>
                <w:lang w:val="en-US"/>
              </w:rPr>
            </w:pPr>
            <w:r>
              <w:rPr>
                <w:rFonts w:hint="eastAsia" w:ascii="宋体" w:hAnsi="宋体" w:eastAsia="宋体" w:cs="宋体"/>
                <w:sz w:val="17"/>
                <w:szCs w:val="17"/>
              </w:rPr>
              <w:t>单位名称：</w:t>
            </w:r>
            <w:r>
              <w:rPr>
                <w:rFonts w:hint="eastAsia" w:ascii="宋体" w:hAnsi="宋体" w:eastAsia="宋体" w:cs="宋体"/>
                <w:sz w:val="17"/>
                <w:szCs w:val="17"/>
                <w:lang w:eastAsia="zh-CN"/>
              </w:rPr>
              <w:t>环江毛南族自治县大才乡社会保障服务中心</w:t>
            </w:r>
            <w:r>
              <w:rPr>
                <w:rFonts w:hint="eastAsia" w:cs="宋体"/>
                <w:sz w:val="17"/>
                <w:szCs w:val="17"/>
                <w:lang w:val="en-US" w:eastAsia="zh-CN"/>
              </w:rPr>
              <w:t xml:space="preserve">            </w:t>
            </w:r>
          </w:p>
        </w:tc>
        <w:tc>
          <w:tcPr>
            <w:tcW w:w="6076" w:type="dxa"/>
            <w:shd w:val="clear" w:color="auto" w:fill="FFFFFF"/>
          </w:tcPr>
          <w:p>
            <w:pPr>
              <w:pStyle w:val="24"/>
              <w:spacing w:line="240" w:lineRule="auto"/>
              <w:ind w:firstLine="4760" w:firstLineChars="2800"/>
              <w:jc w:val="left"/>
              <w:rPr>
                <w:rFonts w:hint="eastAsia" w:ascii="宋体" w:hAnsi="宋体" w:eastAsia="宋体" w:cs="宋体"/>
                <w:sz w:val="17"/>
                <w:szCs w:val="17"/>
              </w:rPr>
            </w:pPr>
            <w:r>
              <w:rPr>
                <w:rFonts w:hint="eastAsia" w:ascii="宋体" w:hAnsi="宋体" w:eastAsia="宋体" w:cs="宋体"/>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ascii="宋体" w:hAnsi="宋体" w:eastAsia="宋体" w:cs="宋体"/>
                <w:sz w:val="17"/>
                <w:u w:color="auto"/>
              </w:rPr>
              <w:t>单位代码</w:t>
            </w:r>
          </w:p>
        </w:tc>
        <w:tc>
          <w:tcPr>
            <w:tcW w:w="255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单位名称</w:t>
            </w:r>
          </w:p>
        </w:tc>
        <w:tc>
          <w:tcPr>
            <w:tcW w:w="335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项目名称</w:t>
            </w:r>
          </w:p>
        </w:tc>
        <w:tc>
          <w:tcPr>
            <w:tcW w:w="1511"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预算金额</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年度绩效目标</w:t>
            </w:r>
          </w:p>
        </w:tc>
      </w:tr>
    </w:tbl>
    <w:p>
      <w:pPr>
        <w:jc w:val="left"/>
        <w:rPr>
          <w:rFonts w:hint="eastAsia"/>
        </w:rPr>
      </w:pPr>
      <w:r>
        <w:t>注：本报表金额单位转换时可能存在四舍五入尾数误差。</w:t>
      </w:r>
    </w:p>
    <w:p>
      <w:pPr>
        <w:jc w:val="left"/>
        <w:rPr>
          <w:rFonts w:hint="eastAsia"/>
          <w:lang w:eastAsia="zh-CN"/>
        </w:rPr>
        <w:sectPr>
          <w:headerReference r:id="rId10" w:type="default"/>
          <w:footerReference r:id="rId11" w:type="default"/>
          <w:pgSz w:w="16840" w:h="11900" w:orient="landscape"/>
          <w:pgMar w:top="2714" w:right="764" w:bottom="2714" w:left="735" w:header="2286" w:footer="1474" w:gutter="0"/>
          <w:pgBorders>
            <w:top w:val="none" w:sz="0" w:space="0"/>
            <w:left w:val="none" w:sz="0" w:space="0"/>
            <w:bottom w:val="none" w:sz="0" w:space="0"/>
            <w:right w:val="none" w:sz="0" w:space="0"/>
          </w:pgBorders>
          <w:pgNumType w:fmt="decimal"/>
          <w:cols w:space="720" w:num="1"/>
          <w:docGrid w:linePitch="360" w:charSpace="0"/>
        </w:sectPr>
      </w:pPr>
    </w:p>
    <w:p>
      <w:pPr>
        <w:pStyle w:val="12"/>
        <w:keepNext/>
        <w:keepLines/>
        <w:spacing w:before="200" w:after="0"/>
        <w:jc w:val="center"/>
        <w:rPr>
          <w:sz w:val="40"/>
          <w:szCs w:val="40"/>
        </w:rPr>
      </w:pPr>
      <w:bookmarkStart w:id="31" w:name="bookmark96"/>
      <w:bookmarkStart w:id="32" w:name="bookmark95"/>
      <w:bookmarkStart w:id="33" w:name="bookmark94"/>
      <w:r>
        <w:rPr>
          <w:sz w:val="40"/>
          <w:szCs w:val="40"/>
        </w:rPr>
        <w:t>第四部</w:t>
      </w:r>
      <w:r>
        <w:rPr>
          <w:rFonts w:hint="eastAsia"/>
          <w:sz w:val="40"/>
          <w:szCs w:val="40"/>
          <w:lang w:val="en-US" w:eastAsia="zh-CN"/>
        </w:rPr>
        <w:t xml:space="preserve">  </w:t>
      </w:r>
      <w:r>
        <w:rPr>
          <w:sz w:val="40"/>
          <w:szCs w:val="40"/>
        </w:rPr>
        <w:t>分名词解释</w:t>
      </w:r>
      <w:bookmarkEnd w:id="31"/>
      <w:bookmarkEnd w:id="32"/>
      <w:bookmarkEnd w:id="33"/>
    </w:p>
    <w:p>
      <w:pPr>
        <w:pStyle w:val="18"/>
        <w:tabs>
          <w:tab w:val="left" w:pos="1270"/>
        </w:tabs>
        <w:spacing w:line="626" w:lineRule="exact"/>
        <w:ind w:firstLine="640"/>
        <w:jc w:val="left"/>
      </w:pPr>
      <w:bookmarkStart w:id="34" w:name="bookmark97"/>
      <w:r>
        <w:t>一</w:t>
      </w:r>
      <w:bookmarkEnd w:id="34"/>
      <w:r>
        <w:t>、</w:t>
      </w:r>
      <w:r>
        <w:tab/>
      </w:r>
      <w:r>
        <w:t>财政拨款收入：指预算单位从本级财政部门取得的财政预算资金收入。</w:t>
      </w:r>
    </w:p>
    <w:p>
      <w:pPr>
        <w:pStyle w:val="18"/>
        <w:tabs>
          <w:tab w:val="left" w:pos="1280"/>
        </w:tabs>
        <w:spacing w:line="626" w:lineRule="exact"/>
        <w:ind w:firstLine="640"/>
        <w:jc w:val="left"/>
      </w:pPr>
      <w:bookmarkStart w:id="35" w:name="bookmark98"/>
      <w:r>
        <w:t>二</w:t>
      </w:r>
      <w:bookmarkEnd w:id="35"/>
      <w:r>
        <w:t>、</w:t>
      </w:r>
      <w:r>
        <w:tab/>
      </w:r>
      <w:r>
        <w:t>事业收入：指事业单位开展专业业务活动及辅助活动所取得的收入。</w:t>
      </w:r>
    </w:p>
    <w:p>
      <w:pPr>
        <w:pStyle w:val="18"/>
        <w:tabs>
          <w:tab w:val="left" w:pos="1275"/>
        </w:tabs>
        <w:spacing w:line="626" w:lineRule="exact"/>
        <w:ind w:firstLine="640"/>
        <w:jc w:val="left"/>
      </w:pPr>
      <w:bookmarkStart w:id="36" w:name="bookmark99"/>
      <w:r>
        <w:t>三</w:t>
      </w:r>
      <w:bookmarkEnd w:id="36"/>
      <w:r>
        <w:t>、</w:t>
      </w:r>
      <w:r>
        <w:tab/>
      </w:r>
      <w:r>
        <w:t>经营收入：指事业单位在专业业务活动及其辅助活动之外开展非独立核算经营活动取得的收入。</w:t>
      </w:r>
    </w:p>
    <w:p>
      <w:pPr>
        <w:pStyle w:val="18"/>
        <w:tabs>
          <w:tab w:val="left" w:pos="1309"/>
        </w:tabs>
        <w:spacing w:line="626" w:lineRule="exact"/>
        <w:ind w:firstLine="640"/>
        <w:jc w:val="left"/>
      </w:pPr>
      <w:bookmarkStart w:id="37" w:name="bookmark100"/>
      <w:r>
        <w:t>四</w:t>
      </w:r>
      <w:bookmarkEnd w:id="37"/>
      <w:r>
        <w:t>、</w:t>
      </w:r>
      <w:r>
        <w:tab/>
      </w:r>
      <w:r>
        <w:t>其他收入：指除上述</w:t>
      </w:r>
      <w:r>
        <w:rPr>
          <w:lang w:val="zh-CN" w:eastAsia="zh-CN" w:bidi="zh-CN"/>
        </w:rPr>
        <w:t>“财</w:t>
      </w:r>
      <w:r>
        <w:t>政拨款收入”、</w:t>
      </w:r>
      <w:r>
        <w:rPr>
          <w:lang w:val="zh-CN" w:eastAsia="zh-CN" w:bidi="zh-CN"/>
        </w:rPr>
        <w:t>“事</w:t>
      </w:r>
      <w:r>
        <w:t>业收入"、</w:t>
      </w:r>
      <w:r>
        <w:rPr>
          <w:lang w:val="zh-CN" w:eastAsia="zh-CN" w:bidi="zh-CN"/>
        </w:rPr>
        <w:t>“经营</w:t>
      </w:r>
      <w:r>
        <w:t>收入"等以外的收入。主要是非本级财政拨款、存款利息收入、事业单位固定资产出租收入等。</w:t>
      </w:r>
    </w:p>
    <w:p>
      <w:pPr>
        <w:pStyle w:val="18"/>
        <w:tabs>
          <w:tab w:val="left" w:pos="1275"/>
        </w:tabs>
        <w:spacing w:line="626" w:lineRule="exact"/>
        <w:ind w:firstLine="640"/>
        <w:jc w:val="left"/>
      </w:pPr>
      <w:bookmarkStart w:id="38" w:name="bookmark101"/>
      <w:r>
        <w:t>五</w:t>
      </w:r>
      <w:bookmarkEnd w:id="38"/>
      <w:r>
        <w:t>、</w:t>
      </w:r>
      <w:r>
        <w:tab/>
      </w:r>
      <w:r>
        <w:t>用事业基金弥补收支差额：指事业单位在用当年的</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“其他</w:t>
      </w:r>
      <w:r>
        <w:t>收入"不足以安排当年支出的情况下，使用以前年度积累的事业基金（事业单位当年收支相抵后按国家规定提取、用于弥补以后年度收支差额的基金）弥补本年度收支缺口的资金。</w:t>
      </w:r>
    </w:p>
    <w:p>
      <w:pPr>
        <w:pStyle w:val="18"/>
        <w:tabs>
          <w:tab w:val="left" w:pos="1270"/>
        </w:tabs>
        <w:spacing w:line="626" w:lineRule="exact"/>
        <w:ind w:firstLine="640"/>
        <w:jc w:val="left"/>
      </w:pPr>
      <w:bookmarkStart w:id="39" w:name="bookmark102"/>
      <w:r>
        <w:t>六</w:t>
      </w:r>
      <w:bookmarkEnd w:id="39"/>
      <w:r>
        <w:t>、</w:t>
      </w:r>
      <w:r>
        <w:tab/>
      </w:r>
      <w:r>
        <w:t>年初结转和结余：指以前年度尚未完成、结转到本年按有关规定继续使用的资金。</w:t>
      </w:r>
    </w:p>
    <w:p>
      <w:pPr>
        <w:pStyle w:val="18"/>
        <w:tabs>
          <w:tab w:val="left" w:pos="1275"/>
        </w:tabs>
        <w:spacing w:line="626" w:lineRule="exact"/>
        <w:ind w:firstLine="640"/>
        <w:jc w:val="left"/>
      </w:pPr>
      <w:bookmarkStart w:id="40" w:name="bookmark103"/>
      <w:r>
        <w:t>七</w:t>
      </w:r>
      <w:bookmarkEnd w:id="40"/>
      <w:r>
        <w:t>、</w:t>
      </w:r>
      <w:r>
        <w:tab/>
      </w:r>
      <w:r>
        <w:t>结余分配：指事业单位按规定提取的职工福利基金、事业基金和缴纳的所得税，以及建设单位按规定应交回的基本建设竣工项目结余资金。</w:t>
      </w:r>
    </w:p>
    <w:p>
      <w:pPr>
        <w:pStyle w:val="18"/>
        <w:tabs>
          <w:tab w:val="left" w:pos="632"/>
        </w:tabs>
        <w:spacing w:line="626" w:lineRule="exact"/>
        <w:ind w:firstLine="640"/>
        <w:jc w:val="left"/>
      </w:pPr>
      <w:bookmarkStart w:id="41" w:name="bookmark104"/>
      <w:r>
        <w:t>八</w:t>
      </w:r>
      <w:bookmarkEnd w:id="41"/>
      <w:r>
        <w:t>、</w:t>
      </w:r>
      <w:r>
        <w:tab/>
      </w:r>
      <w:r>
        <w:t>年末结转和结余：指本年度或以前年度预算安排、因客观条件发生变化无法按原计划实施，需要延迟到以后年度按有关规定继续使用的资金。</w:t>
      </w:r>
    </w:p>
    <w:p>
      <w:pPr>
        <w:pStyle w:val="18"/>
        <w:spacing w:line="628" w:lineRule="exact"/>
        <w:ind w:firstLine="640"/>
        <w:jc w:val="left"/>
      </w:pPr>
      <w:bookmarkStart w:id="42" w:name="bookmark105"/>
      <w:r>
        <w:t>九</w:t>
      </w:r>
      <w:bookmarkEnd w:id="42"/>
      <w:r>
        <w:t>、基本支出：指为保障机构正常运转、完成日常工作任务而发生的人员支出和公用支出。</w:t>
      </w:r>
    </w:p>
    <w:p>
      <w:pPr>
        <w:pStyle w:val="18"/>
        <w:spacing w:line="628" w:lineRule="exact"/>
        <w:ind w:firstLine="640"/>
        <w:jc w:val="left"/>
      </w:pPr>
      <w:r>
        <w:t>十、项目支出：指在基本支出之外为完成特定行政任务和事业发展目标所发生的支出。</w:t>
      </w:r>
    </w:p>
    <w:p>
      <w:pPr>
        <w:pStyle w:val="18"/>
        <w:spacing w:line="628" w:lineRule="exact"/>
        <w:ind w:firstLine="640"/>
        <w:jc w:val="left"/>
      </w:pPr>
      <w:r>
        <w:t>十一、经营支出：指事业单位在专业业务活动及其辅助活动之外开展非独立核算经营活动所发生的支出。</w:t>
      </w:r>
    </w:p>
    <w:p>
      <w:pPr>
        <w:pStyle w:val="18"/>
        <w:spacing w:line="628" w:lineRule="exact"/>
        <w:ind w:firstLine="640"/>
        <w:jc w:val="left"/>
      </w:pPr>
      <w:r>
        <w:t>十二、</w:t>
      </w:r>
      <w:r>
        <w:rPr>
          <w:lang w:val="zh-CN" w:eastAsia="zh-CN" w:bidi="zh-CN"/>
        </w:rPr>
        <w:t>“三</w:t>
      </w:r>
      <w:r>
        <w:t>公”经费：纳入财政预决算管理的</w:t>
      </w:r>
      <w:r>
        <w:rPr>
          <w:lang w:val="zh-CN" w:eastAsia="zh-CN" w:bidi="zh-CN"/>
        </w:rPr>
        <w:t>“三公</w:t>
      </w:r>
      <w:r>
        <w:t>”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18"/>
        <w:spacing w:line="628" w:lineRule="exact"/>
        <w:ind w:firstLine="640"/>
        <w:jc w:val="left"/>
      </w:pPr>
      <w: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12" w:type="default"/>
      <w:footerReference r:id="rId13" w:type="default"/>
      <w:type w:val="continuous"/>
      <w:pgSz w:w="11900" w:h="16840"/>
      <w:pgMar w:top="1302" w:right="1735" w:bottom="1568" w:left="1793" w:header="874" w:footer="1077" w:gutter="0"/>
      <w:pgBorders>
        <w:top w:val="none" w:sz="0" w:space="0"/>
        <w:left w:val="none" w:sz="0" w:space="0"/>
        <w:bottom w:val="none" w:sz="0" w:space="0"/>
        <w:right w:val="none" w:sz="0" w:space="0"/>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AOYWG0DAgAACwQAAA4AAAAAAAAAAQAgAAAAHwEAAGRycy9lMm9E&#10;b2MueG1sUEsFBgAAAAAGAAYAWQEAAJQ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355" name="文本框 4"/>
              <wp:cNvGraphicFramePr/>
              <a:graphic xmlns:a="http://schemas.openxmlformats.org/drawingml/2006/main">
                <a:graphicData uri="http://schemas.microsoft.com/office/word/2010/wordprocessingShape">
                  <wps:wsp>
                    <wps:cNvSpPr/>
                    <wps:spPr>
                      <a:xfrm>
                        <a:off x="0" y="0"/>
                        <a:ext cx="394970" cy="16891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4" o:spid="_x0000_s1026" o:spt="1" style="position:absolute;left:0pt;margin-left:202.75pt;margin-top:0pt;height:13.3pt;width:31.1pt;mso-position-horizontal-relative:margin;z-index:251662336;mso-width-relative:page;mso-height-relative:page;" filled="f" stroked="f" coordsize="21600,21600" o:gfxdata="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dcQj2QAAAAcBAAAPAAAAAAAAAAEAIAAAACIA&#10;AABkcnMvZG93bnJldi54bWxQSwECFAAUAAAACACHTuJA39sIqggCAAALBAAADgAAAAAAAAABACAA&#10;AAAoAQAAZHJzL2Uyb0RvYy54bWxQSwUGAAAAAAYABgBZAQAAogU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4</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357" name="文本框 7"/>
              <wp:cNvGraphicFramePr/>
              <a:graphic xmlns:a="http://schemas.openxmlformats.org/drawingml/2006/main">
                <a:graphicData uri="http://schemas.microsoft.com/office/word/2010/wordprocessingShape">
                  <wps:wsp>
                    <wps:cNvSpPr/>
                    <wps:spPr>
                      <a:xfrm>
                        <a:off x="0" y="0"/>
                        <a:ext cx="440055" cy="206375"/>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7" o:spid="_x0000_s1026" o:spt="1" style="position:absolute;left:0pt;margin-left:378.75pt;margin-top:0pt;height:16.25pt;width:34.65pt;mso-position-horizontal-relative:margin;z-index:251663360;mso-width-relative:page;mso-height-relative:page;" filled="f" stroked="f" coordsize="21600,21600" o:gfxdata="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rTLjt2AAAAAcBAAAPAAAAAAAAAAEAIAAAACIA&#10;AABkcnMvZG93bnJldi54bWxQSwECFAAUAAAACACHTuJA3W44uAkCAAALBAAADgAAAAAAAAABACAA&#10;AAAnAQAAZHJzL2Uyb0RvYy54bWxQSwUGAAAAAAYABgBZAQAAogU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15</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8"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9" o:spid="_x0000_s1026" o:spt="1"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FnRh+UDAgAACwQAAA4AAAAAAAAAAQAgAAAAHwEAAGRycy9lMm9E&#10;b2MueG1sUEsFBgAAAAAGAAYAWQEAAJQ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16</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9"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1" o:spid="_x0000_s1026" o:spt="1"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BJZRyoBAIAAAwEAAAOAAAAAAAAAAEAIAAAAB8BAABkcnMvZTJv&#10;RG9jLnhtbFBLBQYAAAAABgAGAFkBAACV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17</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0"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2"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EthJMMDAgAADAQAAA4AAAAAAAAAAQAgAAAAHwEAAGRycy9lMm9E&#10;b2MueG1sUEsFBgAAAAAGAAYAWQEAAJQ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25</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54"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7216;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JOJzlbpAQAA5AMAAA4AAAAAAAAAAQAgAAAAKgEAAGRycy9lMm9Eb2MueG1sUEsFBgAAAAAG&#10;AAYAWQEAAIUFA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56"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EVieVvpAQAA5AMAAA4AAAAAAAAAAQAgAAAAKgEAAGRycy9lMm9Eb2MueG1sUEsFBgAAAAAG&#10;AAYAWQEAAIUFA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dit="readOnly" w:enforcement="1" w:cryptProviderType="rsaAES" w:cryptAlgorithmClass="hash" w:cryptAlgorithmType="typeAny" w:cryptAlgorithmSid="14" w:cryptSpinCount="100000" w:hash="6PgK5YUCdwPBQjVdfpav6xWpH+mOEvmoaUgJGdTHhhc0Km8s/8KPQHLFAZpCfvGDELf2DRenLEWPJCcXk3Vwdw==" w:salt="uZ5Gf2dWl68jgRCs1Batpg=="/>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3MmYwZTNiZDI5Y2Q4YzI1NGE3NmVlMWM4ODU1YTUifQ=="/>
  </w:docVars>
  <w:rsids>
    <w:rsidRoot w:val="00000000"/>
    <w:rsid w:val="27AA1813"/>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Comment Text"/>
    <w:basedOn w:val="1"/>
    <w:qFormat/>
    <w:uiPriority w:val="0"/>
  </w:style>
  <w:style w:type="character" w:customStyle="1" w:styleId="8">
    <w:name w:val="Comment Reference"/>
    <w:basedOn w:val="6"/>
    <w:qFormat/>
    <w:uiPriority w:val="0"/>
    <w:rPr>
      <w:sz w:val="21"/>
      <w:szCs w:val="21"/>
    </w:rPr>
  </w:style>
  <w:style w:type="character" w:customStyle="1" w:styleId="9">
    <w:name w:val="Body text|5_"/>
    <w:basedOn w:val="6"/>
    <w:link w:val="10"/>
    <w:qFormat/>
    <w:uiPriority w:val="0"/>
    <w:rPr>
      <w:rFonts w:ascii="宋体" w:hAnsi="宋体" w:eastAsia="宋体" w:cs="宋体"/>
      <w:sz w:val="54"/>
      <w:szCs w:val="54"/>
      <w:u w:val="none"/>
      <w:shd w:val="clear" w:color="auto" w:fill="auto"/>
      <w:lang w:val="zh-TW" w:eastAsia="zh-TW" w:bidi="zh-TW"/>
    </w:rPr>
  </w:style>
  <w:style w:type="paragraph" w:customStyle="1" w:styleId="10">
    <w:name w:val="Body text|5"/>
    <w:basedOn w:val="1"/>
    <w:link w:val="9"/>
    <w:qFormat/>
    <w:uiPriority w:val="0"/>
    <w:pPr>
      <w:jc w:val="center"/>
    </w:pPr>
    <w:rPr>
      <w:rFonts w:ascii="宋体" w:hAnsi="宋体" w:eastAsia="宋体" w:cs="宋体"/>
      <w:sz w:val="54"/>
      <w:szCs w:val="54"/>
      <w:lang w:val="zh-TW" w:eastAsia="zh-TW" w:bidi="zh-TW"/>
    </w:rPr>
  </w:style>
  <w:style w:type="character" w:customStyle="1" w:styleId="11">
    <w:name w:val="Heading #1|1_"/>
    <w:basedOn w:val="6"/>
    <w:link w:val="12"/>
    <w:qFormat/>
    <w:uiPriority w:val="0"/>
    <w:rPr>
      <w:rFonts w:ascii="宋体" w:hAnsi="宋体" w:eastAsia="宋体" w:cs="宋体"/>
      <w:sz w:val="44"/>
      <w:szCs w:val="44"/>
      <w:u w:val="none"/>
      <w:shd w:val="clear" w:color="auto" w:fill="auto"/>
      <w:lang w:val="zh-TW" w:eastAsia="zh-TW" w:bidi="zh-TW"/>
    </w:rPr>
  </w:style>
  <w:style w:type="paragraph" w:customStyle="1" w:styleId="12">
    <w:name w:val="Heading #1|1"/>
    <w:basedOn w:val="1"/>
    <w:link w:val="11"/>
    <w:qFormat/>
    <w:uiPriority w:val="0"/>
    <w:pPr>
      <w:spacing w:after="400"/>
      <w:jc w:val="center"/>
      <w:outlineLvl w:val="0"/>
    </w:pPr>
    <w:rPr>
      <w:rFonts w:ascii="宋体" w:hAnsi="宋体" w:eastAsia="宋体" w:cs="宋体"/>
      <w:sz w:val="44"/>
      <w:szCs w:val="44"/>
      <w:lang w:val="zh-TW" w:eastAsia="zh-TW" w:bidi="zh-TW"/>
    </w:rPr>
  </w:style>
  <w:style w:type="character" w:customStyle="1" w:styleId="13">
    <w:name w:val="Header or footer|2_"/>
    <w:basedOn w:val="6"/>
    <w:link w:val="14"/>
    <w:qFormat/>
    <w:uiPriority w:val="0"/>
    <w:rPr>
      <w:sz w:val="20"/>
      <w:szCs w:val="20"/>
      <w:u w:val="none"/>
      <w:shd w:val="clear" w:color="auto" w:fill="auto"/>
      <w:lang w:val="zh-TW" w:eastAsia="zh-TW" w:bidi="zh-TW"/>
    </w:rPr>
  </w:style>
  <w:style w:type="paragraph" w:customStyle="1" w:styleId="14">
    <w:name w:val="Header or footer|2"/>
    <w:basedOn w:val="1"/>
    <w:link w:val="13"/>
    <w:qFormat/>
    <w:uiPriority w:val="0"/>
    <w:rPr>
      <w:sz w:val="20"/>
      <w:szCs w:val="20"/>
      <w:lang w:val="zh-TW" w:eastAsia="zh-TW" w:bidi="zh-TW"/>
    </w:rPr>
  </w:style>
  <w:style w:type="character" w:customStyle="1" w:styleId="15">
    <w:name w:val="Body text|2_"/>
    <w:basedOn w:val="6"/>
    <w:link w:val="16"/>
    <w:qFormat/>
    <w:uiPriority w:val="0"/>
    <w:rPr>
      <w:rFonts w:ascii="宋体" w:hAnsi="宋体" w:eastAsia="宋体" w:cs="宋体"/>
      <w:sz w:val="32"/>
      <w:szCs w:val="32"/>
      <w:u w:val="none"/>
      <w:shd w:val="clear" w:color="auto" w:fill="auto"/>
      <w:lang w:val="zh-TW" w:eastAsia="zh-TW" w:bidi="zh-TW"/>
    </w:rPr>
  </w:style>
  <w:style w:type="paragraph" w:customStyle="1" w:styleId="16">
    <w:name w:val="Body text|2"/>
    <w:basedOn w:val="1"/>
    <w:link w:val="15"/>
    <w:qFormat/>
    <w:uiPriority w:val="0"/>
    <w:pPr>
      <w:spacing w:after="240"/>
      <w:ind w:firstLine="560"/>
    </w:pPr>
    <w:rPr>
      <w:rFonts w:ascii="宋体" w:hAnsi="宋体" w:eastAsia="宋体" w:cs="宋体"/>
      <w:sz w:val="32"/>
      <w:szCs w:val="32"/>
      <w:lang w:val="zh-TW" w:eastAsia="zh-TW" w:bidi="zh-TW"/>
    </w:rPr>
  </w:style>
  <w:style w:type="character" w:customStyle="1" w:styleId="17">
    <w:name w:val="Body text|1_"/>
    <w:basedOn w:val="6"/>
    <w:link w:val="18"/>
    <w:qFormat/>
    <w:uiPriority w:val="0"/>
    <w:rPr>
      <w:rFonts w:ascii="宋体" w:hAnsi="宋体" w:eastAsia="宋体" w:cs="宋体"/>
      <w:sz w:val="28"/>
      <w:szCs w:val="28"/>
      <w:u w:val="none"/>
      <w:shd w:val="clear" w:color="auto" w:fill="auto"/>
      <w:lang w:val="zh-TW" w:eastAsia="zh-TW" w:bidi="zh-TW"/>
    </w:rPr>
  </w:style>
  <w:style w:type="paragraph" w:customStyle="1" w:styleId="18">
    <w:name w:val="Body text|1"/>
    <w:basedOn w:val="1"/>
    <w:link w:val="17"/>
    <w:qFormat/>
    <w:uiPriority w:val="0"/>
    <w:pPr>
      <w:spacing w:line="468" w:lineRule="auto"/>
      <w:ind w:firstLine="400"/>
    </w:pPr>
    <w:rPr>
      <w:rFonts w:ascii="宋体" w:hAnsi="宋体" w:eastAsia="宋体" w:cs="宋体"/>
      <w:sz w:val="28"/>
      <w:szCs w:val="28"/>
      <w:lang w:val="zh-TW" w:eastAsia="zh-TW" w:bidi="zh-TW"/>
    </w:rPr>
  </w:style>
  <w:style w:type="character" w:customStyle="1" w:styleId="19">
    <w:name w:val="Header or footer|1_"/>
    <w:basedOn w:val="6"/>
    <w:link w:val="20"/>
    <w:qFormat/>
    <w:uiPriority w:val="0"/>
    <w:rPr>
      <w:b/>
      <w:bCs/>
      <w:sz w:val="17"/>
      <w:szCs w:val="17"/>
      <w:u w:val="none"/>
      <w:shd w:val="clear" w:color="auto" w:fill="auto"/>
      <w:lang w:val="zh-TW" w:eastAsia="zh-TW" w:bidi="zh-TW"/>
    </w:rPr>
  </w:style>
  <w:style w:type="paragraph" w:customStyle="1" w:styleId="20">
    <w:name w:val="Header or footer|1"/>
    <w:basedOn w:val="1"/>
    <w:link w:val="19"/>
    <w:qFormat/>
    <w:uiPriority w:val="0"/>
    <w:rPr>
      <w:b/>
      <w:bCs/>
      <w:sz w:val="17"/>
      <w:szCs w:val="17"/>
      <w:lang w:val="zh-TW" w:eastAsia="zh-TW" w:bidi="zh-TW"/>
    </w:rPr>
  </w:style>
  <w:style w:type="character" w:customStyle="1" w:styleId="21">
    <w:name w:val="Heading #2|1_"/>
    <w:basedOn w:val="6"/>
    <w:link w:val="22"/>
    <w:qFormat/>
    <w:uiPriority w:val="0"/>
    <w:rPr>
      <w:rFonts w:ascii="宋体" w:hAnsi="宋体" w:eastAsia="宋体" w:cs="宋体"/>
      <w:sz w:val="26"/>
      <w:szCs w:val="26"/>
      <w:u w:val="none"/>
      <w:shd w:val="clear" w:color="auto" w:fill="auto"/>
      <w:lang w:val="zh-TW" w:eastAsia="zh-TW" w:bidi="zh-TW"/>
    </w:rPr>
  </w:style>
  <w:style w:type="paragraph" w:customStyle="1" w:styleId="22">
    <w:name w:val="Heading #2|1"/>
    <w:basedOn w:val="1"/>
    <w:link w:val="21"/>
    <w:qFormat/>
    <w:uiPriority w:val="0"/>
    <w:pPr>
      <w:spacing w:after="230"/>
      <w:jc w:val="center"/>
      <w:outlineLvl w:val="1"/>
    </w:pPr>
    <w:rPr>
      <w:rFonts w:ascii="宋体" w:hAnsi="宋体" w:eastAsia="宋体" w:cs="宋体"/>
      <w:sz w:val="26"/>
      <w:szCs w:val="26"/>
      <w:lang w:val="zh-TW" w:eastAsia="zh-TW" w:bidi="zh-TW"/>
    </w:rPr>
  </w:style>
  <w:style w:type="character" w:customStyle="1" w:styleId="23">
    <w:name w:val="Other|1_"/>
    <w:basedOn w:val="6"/>
    <w:link w:val="24"/>
    <w:qFormat/>
    <w:uiPriority w:val="0"/>
    <w:rPr>
      <w:rFonts w:ascii="宋体" w:hAnsi="宋体" w:eastAsia="宋体" w:cs="宋体"/>
      <w:sz w:val="28"/>
      <w:szCs w:val="28"/>
      <w:u w:val="none"/>
      <w:shd w:val="clear" w:color="auto" w:fill="auto"/>
      <w:lang w:val="zh-TW" w:eastAsia="zh-TW" w:bidi="zh-TW"/>
    </w:rPr>
  </w:style>
  <w:style w:type="paragraph" w:customStyle="1" w:styleId="24">
    <w:name w:val="Other|1"/>
    <w:basedOn w:val="1"/>
    <w:link w:val="23"/>
    <w:qFormat/>
    <w:uiPriority w:val="0"/>
    <w:pPr>
      <w:spacing w:line="468" w:lineRule="auto"/>
      <w:ind w:firstLine="400"/>
    </w:pPr>
    <w:rPr>
      <w:rFonts w:ascii="宋体" w:hAnsi="宋体" w:eastAsia="宋体" w:cs="宋体"/>
      <w:sz w:val="28"/>
      <w:szCs w:val="28"/>
      <w:lang w:val="zh-TW" w:eastAsia="zh-TW" w:bidi="zh-TW"/>
    </w:rPr>
  </w:style>
  <w:style w:type="character" w:customStyle="1" w:styleId="25">
    <w:name w:val="Table caption|1_"/>
    <w:basedOn w:val="6"/>
    <w:link w:val="26"/>
    <w:qFormat/>
    <w:uiPriority w:val="0"/>
    <w:rPr>
      <w:rFonts w:ascii="宋体" w:hAnsi="宋体" w:eastAsia="宋体" w:cs="宋体"/>
      <w:sz w:val="17"/>
      <w:szCs w:val="17"/>
      <w:u w:val="none"/>
      <w:shd w:val="clear" w:color="auto" w:fill="auto"/>
      <w:lang w:val="zh-TW" w:eastAsia="zh-TW" w:bidi="zh-TW"/>
    </w:rPr>
  </w:style>
  <w:style w:type="paragraph" w:customStyle="1" w:styleId="26">
    <w:name w:val="Table caption|1"/>
    <w:basedOn w:val="1"/>
    <w:link w:val="25"/>
    <w:qFormat/>
    <w:uiPriority w:val="0"/>
    <w:rPr>
      <w:rFonts w:ascii="宋体" w:hAnsi="宋体" w:eastAsia="宋体" w:cs="宋体"/>
      <w:sz w:val="17"/>
      <w:szCs w:val="17"/>
      <w:lang w:val="zh-TW" w:eastAsia="zh-TW" w:bidi="zh-TW"/>
    </w:rPr>
  </w:style>
  <w:style w:type="character" w:customStyle="1" w:styleId="27">
    <w:name w:val="Body text|4_"/>
    <w:basedOn w:val="6"/>
    <w:link w:val="28"/>
    <w:qFormat/>
    <w:uiPriority w:val="0"/>
    <w:rPr>
      <w:rFonts w:ascii="宋体" w:hAnsi="宋体" w:eastAsia="宋体" w:cs="宋体"/>
      <w:sz w:val="17"/>
      <w:szCs w:val="17"/>
      <w:u w:val="none"/>
      <w:shd w:val="clear" w:color="auto" w:fill="auto"/>
      <w:lang w:val="zh-TW" w:eastAsia="zh-TW" w:bidi="zh-TW"/>
    </w:rPr>
  </w:style>
  <w:style w:type="paragraph" w:customStyle="1" w:styleId="28">
    <w:name w:val="Body text|4"/>
    <w:basedOn w:val="1"/>
    <w:link w:val="27"/>
    <w:qFormat/>
    <w:uiPriority w:val="0"/>
    <w:pPr>
      <w:ind w:firstLine="680"/>
    </w:pPr>
    <w:rPr>
      <w:rFonts w:ascii="宋体" w:hAnsi="宋体" w:eastAsia="宋体" w:cs="宋体"/>
      <w:sz w:val="17"/>
      <w:szCs w:val="17"/>
      <w:lang w:val="zh-TW" w:eastAsia="zh-TW" w:bidi="zh-TW"/>
    </w:rPr>
  </w:style>
  <w:style w:type="character" w:customStyle="1" w:styleId="29">
    <w:name w:val="Body text|3_"/>
    <w:basedOn w:val="6"/>
    <w:link w:val="30"/>
    <w:qFormat/>
    <w:uiPriority w:val="0"/>
    <w:rPr>
      <w:sz w:val="30"/>
      <w:szCs w:val="30"/>
      <w:u w:val="none"/>
      <w:shd w:val="clear" w:color="auto" w:fill="auto"/>
      <w:lang w:val="zh-TW" w:eastAsia="zh-TW" w:bidi="zh-TW"/>
    </w:rPr>
  </w:style>
  <w:style w:type="paragraph" w:customStyle="1" w:styleId="30">
    <w:name w:val="Body text|3"/>
    <w:basedOn w:val="1"/>
    <w:link w:val="29"/>
    <w:qFormat/>
    <w:uiPriority w:val="0"/>
    <w:pPr>
      <w:spacing w:after="140" w:line="336" w:lineRule="auto"/>
      <w:ind w:firstLine="370"/>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4.xml"/><Relationship Id="rId24" Type="http://schemas.openxmlformats.org/officeDocument/2006/relationships/customXml" Target="../customXml/item3.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formatCode>General</c:formatCode>
                <c:ptCount val="1"/>
                <c:pt idx="0">
                  <c:v>36.55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Lbls>
            <c:delete val="1"/>
          </c:dLbls>
          <c:cat>
            <c:strRef>
              <c:f>Sheet1!$A$2:$A$4</c:f>
              <c:strCache>
                <c:ptCount val="3"/>
                <c:pt idx="0">
                  <c:v>一般公共服务支出</c:v>
                </c:pt>
                <c:pt idx="1">
                  <c:v>社会保障和就业支出</c:v>
                </c:pt>
                <c:pt idx="2">
                  <c:v>住房保障支出</c:v>
                </c:pt>
              </c:strCache>
            </c:strRef>
          </c:cat>
          <c:val>
            <c:numRef>
              <c:f>Sheet1!$B$2:$B$4</c:f>
              <c:numCache>
                <c:formatCode>General</c:formatCode>
                <c:ptCount val="3"/>
                <c:pt idx="0">
                  <c:v>0.36</c:v>
                </c:pt>
                <c:pt idx="1">
                  <c:v>32.44</c:v>
                </c:pt>
                <c:pt idx="2">
                  <c:v>3.76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34.58</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36.55</c:v>
                </c:pt>
              </c:numCache>
            </c:numRef>
          </c:val>
        </c:ser>
        <c:ser>
          <c:idx val="2"/>
          <c:order val="2"/>
          <c:tx>
            <c:strRef>
              <c:f>Sheet1!$D$1</c:f>
              <c:strCache>
                <c:ptCount val="1"/>
                <c:pt idx="0">
                  <c:v>MOF_DIV_CODE</c:v>
                </c:pt>
              </c:strCache>
            </c:strRef>
          </c:tx>
          <c:invertIfNegative val="0"/>
          <c:dLbls>
            <c:delete val="1"/>
          </c:dLbls>
          <c:cat>
            <c:strRef>
              <c:f>Sheet1!$A$2</c:f>
              <c:strCache>
                <c:ptCount val="1"/>
                <c:pt idx="0">
                  <c:v>收入</c:v>
                </c:pt>
              </c:strCache>
            </c:strRef>
          </c:cat>
          <c:val>
            <c:numRef>
              <c:f>Sheet1!$D$2</c:f>
              <c:numCache>
                <c:formatCode>General</c:formatCode>
                <c:ptCount val="1"/>
                <c:pt idx="0">
                  <c:v>451226000</c:v>
                </c:pt>
              </c:numCache>
            </c:numRef>
          </c:val>
        </c:ser>
        <c:ser>
          <c:idx val="3"/>
          <c:order val="3"/>
          <c:tx>
            <c:strRef>
              <c:f>Sheet1!$E$1</c:f>
              <c:strCache>
                <c:ptCount val="1"/>
                <c:pt idx="0">
                  <c:v>AGENCY_CODE</c:v>
                </c:pt>
              </c:strCache>
            </c:strRef>
          </c:tx>
          <c:invertIfNegative val="0"/>
          <c:dLbls>
            <c:delete val="1"/>
          </c:dLbls>
          <c:cat>
            <c:strRef>
              <c:f>Sheet1!$A$2</c:f>
              <c:strCache>
                <c:ptCount val="1"/>
                <c:pt idx="0">
                  <c:v>收入</c:v>
                </c:pt>
              </c:strCache>
            </c:strRef>
          </c:cat>
          <c:val>
            <c:numRef>
              <c:f>Sheet1!$E$2</c:f>
              <c:numCache>
                <c:formatCode>General</c:formatCode>
                <c:ptCount val="1"/>
                <c:pt idx="0">
                  <c:v>702005</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一般公共预算支出情况</a:t>
            </a:r>
            <a:endParaRPr lang="en-US" sz="11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36.55</c:v>
                </c:pt>
              </c:numCache>
            </c:numRef>
          </c:val>
        </c:ser>
        <c:ser>
          <c:idx val="1"/>
          <c:order val="1"/>
          <c:tx>
            <c:strRef>
              <c:f>Sheet1!$C$1</c:f>
              <c:strCache>
                <c:ptCount val="1"/>
                <c:pt idx="0">
                  <c:v>结转下年支出</c:v>
                </c:pt>
              </c:strCache>
            </c:strRef>
          </c:tx>
          <c:invertIfNegative val="0"/>
          <c:dLbls>
            <c:delete val="1"/>
          </c:dLbls>
          <c:cat>
            <c:strRef>
              <c:f>Sheet1!$A$2</c:f>
              <c:strCache>
                <c:ptCount val="1"/>
                <c:pt idx="0">
                  <c:v>上年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0"/>
          <c:dLbls>
            <c:delete val="1"/>
          </c:dLbls>
          <c:cat>
            <c:strRef>
              <c:f>Sheet1!$A$2</c:f>
              <c:strCache>
                <c:ptCount val="1"/>
                <c:pt idx="0">
                  <c:v>上年</c:v>
                </c:pt>
              </c:strCache>
            </c:strRef>
          </c:cat>
          <c:val>
            <c:numRef>
              <c:f>Sheet1!$D$2</c:f>
              <c:numCache>
                <c:formatCode>General</c:formatCode>
                <c:ptCount val="1"/>
                <c:pt idx="0">
                  <c:v>0</c:v>
                </c:pt>
              </c:numCache>
            </c:numRef>
          </c:val>
        </c:ser>
        <c:ser>
          <c:idx val="3"/>
          <c:order val="3"/>
          <c:tx>
            <c:strRef>
              <c:f>Sheet1!$E$1</c:f>
              <c:strCache>
                <c:ptCount val="1"/>
                <c:pt idx="0">
                  <c:v>公用经费</c:v>
                </c:pt>
              </c:strCache>
            </c:strRef>
          </c:tx>
          <c:invertIfNegative val="0"/>
          <c:dLbls>
            <c:delete val="1"/>
          </c:dLbls>
          <c:cat>
            <c:strRef>
              <c:f>Sheet1!$A$2</c:f>
              <c:strCache>
                <c:ptCount val="1"/>
                <c:pt idx="0">
                  <c:v>上年</c:v>
                </c:pt>
              </c:strCache>
            </c:strRef>
          </c:cat>
          <c:val>
            <c:numRef>
              <c:f>Sheet1!$E$2</c:f>
              <c:numCache>
                <c:formatCode>General</c:formatCode>
                <c:ptCount val="1"/>
                <c:pt idx="0">
                  <c:v>1.08</c:v>
                </c:pt>
              </c:numCache>
            </c:numRef>
          </c:val>
        </c:ser>
        <c:ser>
          <c:idx val="4"/>
          <c:order val="4"/>
          <c:tx>
            <c:strRef>
              <c:f>Sheet1!$F$1</c:f>
              <c:strCache>
                <c:ptCount val="1"/>
                <c:pt idx="0">
                  <c:v>人员经费</c:v>
                </c:pt>
              </c:strCache>
            </c:strRef>
          </c:tx>
          <c:invertIfNegative val="0"/>
          <c:dLbls>
            <c:delete val="1"/>
          </c:dLbls>
          <c:cat>
            <c:strRef>
              <c:f>Sheet1!$A$2</c:f>
              <c:strCache>
                <c:ptCount val="1"/>
                <c:pt idx="0">
                  <c:v>上年</c:v>
                </c:pt>
              </c:strCache>
            </c:strRef>
          </c:cat>
          <c:val>
            <c:numRef>
              <c:f>Sheet1!$F$2</c:f>
              <c:numCache>
                <c:formatCode>General</c:formatCode>
                <c:ptCount val="1"/>
                <c:pt idx="0">
                  <c:v>35.48</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一般公共预算基本支出情况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人员经费</c:v>
                </c:pt>
                <c:pt idx="1">
                  <c:v>公用经费</c:v>
                </c:pt>
              </c:strCache>
            </c:strRef>
          </c:cat>
          <c:val>
            <c:numRef>
              <c:f>Sheet1!$B$2:$B$3</c:f>
              <c:numCache>
                <c:formatCode>General</c:formatCode>
                <c:ptCount val="2"/>
                <c:pt idx="0">
                  <c:v>35.48</c:v>
                </c:pt>
                <c:pt idx="1">
                  <c:v>1.08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c:v>
                </c:pt>
                <c:pt idx="1">
                  <c:v>0</c:v>
                </c:pt>
                <c:pt idx="2">
                  <c:v>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c:v>
                </c:pt>
                <c:pt idx="1">
                  <c:v>0</c:v>
                </c:pt>
                <c:pt idx="2">
                  <c:v>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DC93C90D53BE4108B92996B0242E3918_13</vt:lpwstr>
  </property>
</Properties>
</file>

<file path=customXml/item3.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19</TotalTime>
  <ScaleCrop>false</ScaleCrop>
  <LinksUpToDate>false</LinksUpToDate>
  <CharactersWithSpaces>11333</CharactersWithSpaces>
  <Application>WPS Office_12.1.0.16388_F1E327BC-269C-435d-A152-05C5408002CA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黄凯璇</cp:lastModifiedBy>
  <dcterms:modified xsi:type="dcterms:W3CDTF">2024-02-28T09:06:10Z</dcterms:modified>
  <cp:revision>3</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ce27a3-7843-475d-b5ac-2db3ff961e1c}">
  <ds:schemaRefs/>
</ds:datastoreItem>
</file>

<file path=customXml/itemProps3.xml><?xml version="1.0" encoding="utf-8"?>
<ds:datastoreItem xmlns:ds="http://schemas.openxmlformats.org/officeDocument/2006/customXml" ds:itemID="{4e65c99c-d4a1-4edd-9943-00c7e7a95589}">
  <ds:schemaRefs/>
</ds:datastoreItem>
</file>

<file path=customXml/itemProps4.xml><?xml version="1.0" encoding="utf-8"?>
<ds:datastoreItem xmlns:ds="http://schemas.openxmlformats.org/officeDocument/2006/customXml" ds:itemID="{06814e09-4f1a-4ba4-8e32-22c58f7f20cd}">
  <ds:schemaRefs/>
</ds:datastoreItem>
</file>

<file path=docProps/app.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19</TotalTime>
  <ScaleCrop>false</ScaleCrop>
  <LinksUpToDate>false</LinksUpToDate>
  <CharactersWithSpaces>11333</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2023-02-07T06:11:00Z</dcterms:created>
  <dc:creator>蔡冬冬</dc:creator>
  <cp:lastModifiedBy>HJCL</cp:lastModifiedBy>
  <dcterms:modified xsi:type="dcterms:W3CDTF">2024-02-29T01:01:27Z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5E9DBF1EB919471188DEDB3BF19EBC01</vt:lpwstr>
  </property>
</Properties>
</file>