
<file path=[Content_Types].xml><?xml version="1.0" encoding="utf-8"?>
<Types xmlns="http://schemas.openxmlformats.org/package/2006/content-types">
  <Default ContentType="application/vnd.openxmlformats-package.relationships+xml" Extension="rels"/>
  <Default ContentType="application/vnd.openxmlformats-officedocument.spreadsheetml.sheet" Extension="xlsx"/>
  <Default ContentType="application/xml" Extension="xml"/>
  <Override ContentType="application/xml" PartName="/customXml/item1.xml"/>
  <Override ContentType="application/xml" PartName="/customXml/item2.xml"/>
  <Override ContentType="application/xml" PartName="/customXml/item3.xml"/>
  <Override ContentType="application/xml" PartName="/customXml/item4.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drawingml.chart+xml" PartName="/word/charts/chart1.xml"/>
  <Override ContentType="application/vnd.openxmlformats-officedocument.drawingml.chart+xml" PartName="/word/charts/chart2.xml"/>
  <Override ContentType="application/vnd.openxmlformats-officedocument.drawingml.chart+xml" PartName="/word/charts/chart3.xml"/>
  <Override ContentType="application/vnd.openxmlformats-officedocument.drawingml.chart+xml" PartName="/word/charts/chart4.xml"/>
  <Override ContentType="application/vnd.openxmlformats-officedocument.drawingml.chart+xml" PartName="/word/charts/chart5.xml"/>
  <Override ContentType="application/vnd.openxmlformats-officedocument.drawingml.chart+xml" PartName="/word/charts/chart6.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 Generated by Spire.Doc -->
  <w:body>
    <w:p>
      <w:pPr>
        <w:pStyle w:val="Bodytext|5"/>
        <w:jc w:val="center"/>
        <w:rPr>
          <w:rFonts w:hint="eastAsia"/>
          <w:sz w:val="56"/>
          <w:szCs w:val="56"/>
          <w:lang w:eastAsia="zh-CN"/>
        </w:rPr>
      </w:pPr>
      <w:r>
        <w:rPr>
          <w:rFonts w:hint="eastAsia"/>
          <w:sz w:val="56"/>
          <w:szCs w:val="56"/>
          <w:lang w:eastAsia="zh-CN"/>
        </w:rPr>
        <w:t xml:space="preserve">环江毛南族自治县中医医院</w:t>
      </w:r>
    </w:p>
    <w:p>
      <w:pPr>
        <w:pStyle w:val="Bodytext|5"/>
        <w:jc w:val="center"/>
        <w:rPr>
          <w:sz w:val="56"/>
          <w:szCs w:val="56"/>
        </w:rPr>
        <w:sectPr>
          <w:headerReference w:type="default" r:id="rId5"/>
          <w:footerReference w:type="default" r:id="rId6"/>
          <w:pgSz w:w="11900" w:h="16840" w:orient="portrait"/>
          <w:pgMar w:top="4713" w:right="1913" w:bottom="4713" w:left="2020" w:header="4285" w:footer="2381" w:gutter="0"/>
          <w:pgBorders>
            <w:top w:val="none" w:sz="0" w:space="0" w:color="auto"/>
            <w:left w:val="none" w:sz="0" w:space="0" w:color="auto"/>
            <w:bottom w:val="none" w:sz="0" w:space="0" w:color="auto"/>
            <w:right w:val="none" w:sz="0" w:space="0" w:color="auto"/>
          </w:pgBorders>
          <w:pgNumType w:fmt="decimal" w:start="1"/>
          <w:cols w:num="1" w:space="720">
            <w:col w:w="7967" w:space="720"/>
          </w:cols>
          <w:docGrid w:linePitch="360" w:charSpace="0"/>
        </w:sectPr>
      </w:pPr>
      <w:r>
        <w:rPr>
          <w:rFonts w:hint="eastAsia"/>
          <w:sz w:val="56"/>
          <w:szCs w:val="56"/>
          <w:lang w:eastAsia="zh-CN"/>
        </w:rPr>
        <w:t xml:space="preserve">2024</w:t>
      </w:r>
      <w:r>
        <w:rPr>
          <w:rFonts w:ascii="宋体" w:eastAsia="宋体" w:hAnsi="宋体" w:asciiTheme="majorEastAsia" w:eastAsiaTheme="majorEastAsia" w:hAnsiTheme="majorEastAsia" w:cs="Times New Roman" w:cstheme="majorEastAsia" w:hint="eastAsia"/>
          <w:sz w:val="56"/>
          <w:szCs w:val="56"/>
          <w:u w:color="auto"/>
        </w:rPr>
        <w:t xml:space="preserve">年</w:t>
      </w:r>
      <w:r>
        <w:rPr>
          <w:rFonts w:ascii="宋体" w:eastAsia="宋体" w:hAnsi="宋体" w:asciiTheme="majorEastAsia" w:eastAsiaTheme="majorEastAsia" w:hAnsiTheme="majorEastAsia" w:cs="Times New Roman" w:cstheme="majorEastAsia" w:hint="eastAsia"/>
          <w:sz w:val="56"/>
          <w:szCs w:val="56"/>
        </w:rPr>
        <w:t xml:space="preserve">度部门预算</w:t>
      </w:r>
    </w:p>
    <w:p>
      <w:pPr>
        <w:pStyle w:val="Heading#1|1"/>
        <w:keepNext/>
        <w:keepLines/>
        <w:spacing w:after="240"/>
        <w:jc w:val="center"/>
      </w:pPr>
      <w:bookmarkStart w:id="0" w:name="bookmark2"/>
      <w:bookmarkStart w:id="1" w:name="bookmark1"/>
      <w:bookmarkStart w:id="2" w:name="bookmark0"/>
      <w:r>
        <w:t xml:space="preserve">目录</w:t>
      </w:r>
      <w:bookmarkEnd w:id="0"/>
      <w:bookmarkEnd w:id="1"/>
      <w:bookmarkEnd w:id="2"/>
    </w:p>
    <w:p>
      <w:pPr>
        <w:pStyle w:val="Bodytext|2"/>
        <w:ind w:left="0" w:firstLine="320" w:leftChars="0" w:firstLineChars="100"/>
        <w:jc w:val="left"/>
      </w:pPr>
      <w:r>
        <w:t xml:space="preserve">第一部分</w:t>
      </w:r>
      <w:r>
        <w:rPr>
          <w:rFonts w:hint="eastAsia"/>
          <w:lang w:eastAsia="zh-CN"/>
        </w:rPr>
        <w:t xml:space="preserve">：</w:t>
      </w:r>
      <w:r>
        <w:rPr>
          <w:u w:color="auto"/>
        </w:rPr>
        <w:t xml:space="preserve">环江毛南族自治县中医医院</w:t>
      </w:r>
      <w:r>
        <w:rPr>
          <w:u w:color="auto"/>
        </w:rPr>
        <w:t xml:space="preserve">单位</w:t>
      </w:r>
      <w:r>
        <w:t xml:space="preserve">概况</w:t>
      </w:r>
    </w:p>
    <w:p>
      <w:pPr>
        <w:pStyle w:val="Bodytext|2"/>
        <w:jc w:val="left"/>
      </w:pPr>
      <w:r>
        <w:rPr>
          <w:lang w:val="en-US" w:eastAsia="zh-CN" w:bidi="en-US"/>
        </w:rPr>
        <w:t xml:space="preserve">—</w:t>
      </w:r>
      <w:r>
        <w:t xml:space="preserve">、主要职责</w:t>
      </w:r>
    </w:p>
    <w:p>
      <w:pPr>
        <w:pStyle w:val="Bodytext|2"/>
        <w:jc w:val="left"/>
        <w:rPr>
          <w:rFonts w:hint="eastAsia"/>
        </w:rPr>
      </w:pPr>
      <w:r>
        <w:rPr>
          <w:rFonts w:hint="eastAsia"/>
          <w:lang w:val="en-US" w:eastAsia="zh-CN"/>
        </w:rPr>
        <w:t xml:space="preserve">二、</w:t>
      </w:r>
      <w:r>
        <w:rPr>
          <w:rFonts w:hint="eastAsia"/>
        </w:rPr>
        <w:t xml:space="preserve">机构设置情况</w:t>
      </w:r>
    </w:p>
    <w:p>
      <w:pPr>
        <w:pStyle w:val="Bodytext|2"/>
        <w:ind w:left="0" w:firstLine="320" w:leftChars="0" w:firstLineChars="100"/>
        <w:jc w:val="left"/>
      </w:pPr>
      <w:r>
        <w:t xml:space="preserve">第二部分</w:t>
      </w:r>
      <w:r>
        <w:rPr>
          <w:rFonts w:hint="eastAsia"/>
          <w:lang w:eastAsia="zh-CN"/>
        </w:rPr>
        <w:t xml:space="preserve">：</w:t>
      </w:r>
      <w:r>
        <w:rPr>
          <w:u w:color="auto"/>
        </w:rPr>
        <w:t xml:space="preserve">环江毛南族自治县中医医院</w:t>
      </w:r>
      <w:r>
        <w:rPr>
          <w:u w:color="auto"/>
        </w:rPr>
        <w:t xml:space="preserve">2024</w:t>
      </w:r>
      <w:r>
        <w:t xml:space="preserve">部门预算情况说明</w:t>
      </w:r>
    </w:p>
    <w:p>
      <w:pPr>
        <w:pStyle w:val="Bodytext|2"/>
        <w:numPr>
          <w:ilvl w:val="0"/>
          <w:numId w:val="0"/>
        </w:numPr>
        <w:ind w:firstLine="640" w:firstLineChars="200"/>
        <w:jc w:val="left"/>
        <w:rPr>
          <w:rFonts w:hint="eastAsia"/>
        </w:rPr>
      </w:pPr>
      <w:r>
        <w:rPr>
          <w:rFonts w:hint="eastAsia"/>
        </w:rPr>
        <w:t xml:space="preserve">一、部门收支总体情况说明</w:t>
      </w:r>
    </w:p>
    <w:p>
      <w:pPr>
        <w:pStyle w:val="Bodytext|2"/>
        <w:numPr>
          <w:ilvl w:val="0"/>
          <w:numId w:val="0"/>
        </w:numPr>
        <w:ind w:firstLine="640" w:firstLineChars="200"/>
        <w:jc w:val="left"/>
        <w:rPr>
          <w:rFonts w:hint="eastAsia"/>
        </w:rPr>
      </w:pPr>
      <w:r>
        <w:rPr>
          <w:rFonts w:hint="eastAsia"/>
        </w:rPr>
        <w:t xml:space="preserve">二、部门收入总体情况说明</w:t>
      </w:r>
    </w:p>
    <w:p>
      <w:pPr>
        <w:pStyle w:val="Bodytext|2"/>
        <w:numPr>
          <w:ilvl w:val="0"/>
          <w:numId w:val="0"/>
        </w:numPr>
        <w:ind w:firstLine="640" w:firstLineChars="200"/>
        <w:jc w:val="left"/>
        <w:rPr>
          <w:rFonts w:hint="eastAsia"/>
        </w:rPr>
      </w:pPr>
      <w:r>
        <w:rPr>
          <w:rFonts w:hint="eastAsia"/>
        </w:rPr>
        <w:t xml:space="preserve">三、部门支出总体情况说明</w:t>
      </w:r>
    </w:p>
    <w:p>
      <w:pPr>
        <w:pStyle w:val="Bodytext|2"/>
        <w:numPr>
          <w:ilvl w:val="0"/>
          <w:numId w:val="0"/>
        </w:numPr>
        <w:ind w:firstLine="640" w:firstLineChars="200"/>
        <w:jc w:val="left"/>
        <w:rPr>
          <w:rFonts w:hint="eastAsia"/>
        </w:rPr>
      </w:pPr>
      <w:r>
        <w:rPr>
          <w:rFonts w:hint="eastAsia"/>
        </w:rPr>
        <w:t xml:space="preserve">四、财政拨款收支总体情况说明</w:t>
      </w:r>
    </w:p>
    <w:p>
      <w:pPr>
        <w:pStyle w:val="Bodytext|2"/>
        <w:numPr>
          <w:ilvl w:val="0"/>
          <w:numId w:val="0"/>
        </w:numPr>
        <w:ind w:firstLine="640" w:firstLineChars="200"/>
        <w:jc w:val="left"/>
        <w:rPr>
          <w:rFonts w:hint="eastAsia"/>
        </w:rPr>
      </w:pPr>
      <w:r>
        <w:rPr>
          <w:rFonts w:hint="eastAsia"/>
        </w:rPr>
        <w:t xml:space="preserve">五、一般公共预算支出情况说明</w:t>
      </w:r>
    </w:p>
    <w:p>
      <w:pPr>
        <w:pStyle w:val="Bodytext|2"/>
        <w:numPr>
          <w:ilvl w:val="0"/>
          <w:numId w:val="0"/>
        </w:numPr>
        <w:ind w:firstLine="640" w:firstLineChars="200"/>
        <w:jc w:val="left"/>
        <w:rPr>
          <w:rFonts w:hint="eastAsia"/>
        </w:rPr>
      </w:pPr>
      <w:r>
        <w:rPr>
          <w:rFonts w:hint="eastAsia"/>
        </w:rPr>
        <w:t xml:space="preserve">六、一般公共预算基本支出情况说明</w:t>
      </w:r>
    </w:p>
    <w:p>
      <w:pPr>
        <w:pStyle w:val="Bodytext|2"/>
        <w:numPr>
          <w:ilvl w:val="0"/>
          <w:numId w:val="0"/>
        </w:numPr>
        <w:ind w:firstLine="640" w:firstLineChars="200"/>
        <w:jc w:val="left"/>
        <w:rPr>
          <w:rFonts w:hint="eastAsia"/>
        </w:rPr>
      </w:pPr>
      <w:r>
        <w:rPr>
          <w:rFonts w:hint="eastAsia"/>
        </w:rPr>
        <w:t xml:space="preserve">七、一般公共预算“三公”经费支出情况说明</w:t>
      </w:r>
    </w:p>
    <w:p>
      <w:pPr>
        <w:pStyle w:val="Bodytext|2"/>
        <w:numPr>
          <w:ilvl w:val="0"/>
          <w:numId w:val="0"/>
        </w:numPr>
        <w:ind w:firstLine="640" w:firstLineChars="200"/>
        <w:jc w:val="left"/>
        <w:rPr>
          <w:rFonts w:hint="eastAsia"/>
        </w:rPr>
      </w:pPr>
      <w:r>
        <w:rPr>
          <w:rFonts w:hint="eastAsia"/>
        </w:rPr>
        <w:t xml:space="preserve">八、政府性基金预算支出情况说明</w:t>
      </w:r>
    </w:p>
    <w:p>
      <w:pPr>
        <w:pStyle w:val="Bodytext|2"/>
        <w:numPr>
          <w:ilvl w:val="0"/>
          <w:numId w:val="0"/>
        </w:numPr>
        <w:ind w:firstLine="640" w:firstLineChars="200"/>
        <w:jc w:val="left"/>
        <w:rPr>
          <w:rFonts w:hint="eastAsia"/>
        </w:rPr>
      </w:pPr>
      <w:r>
        <w:rPr>
          <w:rFonts w:hint="eastAsia"/>
        </w:rPr>
        <w:t xml:space="preserve">九、国有资本经营预算支出情况说明</w:t>
      </w:r>
    </w:p>
    <w:p>
      <w:pPr>
        <w:pStyle w:val="Bodytext|2"/>
        <w:numPr>
          <w:ilvl w:val="0"/>
          <w:numId w:val="0"/>
        </w:numPr>
        <w:ind w:firstLine="640" w:firstLineChars="200"/>
        <w:jc w:val="left"/>
      </w:pPr>
      <w:r>
        <w:rPr>
          <w:rFonts w:hint="eastAsia"/>
        </w:rPr>
        <w:t xml:space="preserve">十、其他重要事项情况说明</w:t>
      </w:r>
    </w:p>
    <w:p>
      <w:pPr>
        <w:pStyle w:val="Bodytext|2"/>
        <w:ind w:left="0" w:firstLine="320" w:leftChars="0" w:firstLineChars="100"/>
        <w:jc w:val="left"/>
      </w:pPr>
      <w:r>
        <w:t xml:space="preserve">第三部分</w:t>
      </w:r>
      <w:r>
        <w:rPr>
          <w:rFonts w:hint="eastAsia"/>
          <w:lang w:eastAsia="zh-CN"/>
        </w:rPr>
        <w:t xml:space="preserve">：</w:t>
      </w:r>
      <w:r>
        <w:rPr>
          <w:u w:color="auto"/>
        </w:rPr>
        <w:t xml:space="preserve">环江毛南族自治县中医医院</w:t>
      </w:r>
      <w:r>
        <w:rPr>
          <w:u w:color="auto"/>
        </w:rPr>
        <w:t xml:space="preserve">2024</w:t>
      </w:r>
      <w:r>
        <w:rPr>
          <w:rFonts w:ascii="Times New Roman" w:hAnsi="Times New Roman" w:cs="Times New Roman"/>
          <w:u w:color="auto"/>
        </w:rPr>
        <w:t xml:space="preserve">年</w:t>
      </w:r>
      <w:r>
        <w:t xml:space="preserve">部门预算</w:t>
      </w:r>
      <w:r>
        <w:rPr>
          <w:rFonts w:hint="eastAsia"/>
          <w:lang w:val="en-US" w:eastAsia="zh-CN"/>
        </w:rPr>
        <w:t xml:space="preserve">相关报</w:t>
      </w:r>
      <w:r>
        <w:t xml:space="preserve">表</w:t>
      </w:r>
    </w:p>
    <w:p>
      <w:pPr>
        <w:pStyle w:val="Bodytext|2"/>
        <w:jc w:val="left"/>
        <w:rPr>
          <w:rFonts w:hint="eastAsia"/>
        </w:rPr>
      </w:pPr>
      <w:r>
        <w:rPr>
          <w:rFonts w:hint="eastAsia"/>
        </w:rPr>
        <w:t xml:space="preserve">一、部门收支总体情况表</w:t>
      </w:r>
    </w:p>
    <w:p>
      <w:pPr>
        <w:pStyle w:val="Bodytext|2"/>
        <w:jc w:val="left"/>
        <w:rPr>
          <w:rFonts w:hint="eastAsia"/>
        </w:rPr>
      </w:pPr>
      <w:r>
        <w:rPr>
          <w:rFonts w:hint="eastAsia"/>
        </w:rPr>
        <w:t xml:space="preserve">二、部门收入总体情况表</w:t>
      </w:r>
    </w:p>
    <w:p>
      <w:pPr>
        <w:pStyle w:val="Bodytext|2"/>
        <w:jc w:val="left"/>
        <w:rPr>
          <w:rFonts w:hint="eastAsia"/>
        </w:rPr>
      </w:pPr>
      <w:r>
        <w:rPr>
          <w:rFonts w:hint="eastAsia"/>
        </w:rPr>
        <w:t xml:space="preserve">三、部门支出总体情况表</w:t>
      </w:r>
    </w:p>
    <w:p>
      <w:pPr>
        <w:pStyle w:val="Bodytext|2"/>
        <w:jc w:val="left"/>
        <w:rPr>
          <w:rFonts w:hint="eastAsia"/>
        </w:rPr>
      </w:pPr>
      <w:r>
        <w:rPr>
          <w:rFonts w:hint="eastAsia"/>
        </w:rPr>
        <w:t xml:space="preserve">四、财政拨款收支总体情况表</w:t>
      </w:r>
    </w:p>
    <w:p>
      <w:pPr>
        <w:pStyle w:val="Bodytext|2"/>
        <w:jc w:val="left"/>
        <w:rPr>
          <w:rFonts w:hint="eastAsia"/>
        </w:rPr>
      </w:pPr>
      <w:r>
        <w:rPr>
          <w:rFonts w:hint="eastAsia"/>
        </w:rPr>
        <w:t xml:space="preserve">五、一般公共预算支出情况表</w:t>
      </w:r>
    </w:p>
    <w:p>
      <w:pPr>
        <w:pStyle w:val="Bodytext|2"/>
        <w:jc w:val="left"/>
        <w:rPr>
          <w:rFonts w:hint="eastAsia"/>
        </w:rPr>
      </w:pPr>
      <w:r>
        <w:rPr>
          <w:rFonts w:hint="eastAsia"/>
        </w:rPr>
        <w:t xml:space="preserve">六、一般公共预算基本支出情况表</w:t>
      </w:r>
    </w:p>
    <w:p>
      <w:pPr>
        <w:pStyle w:val="Bodytext|2"/>
        <w:jc w:val="left"/>
        <w:rPr>
          <w:rFonts w:hint="eastAsia"/>
        </w:rPr>
      </w:pPr>
      <w:r>
        <w:rPr>
          <w:rFonts w:hint="eastAsia"/>
        </w:rPr>
        <w:t xml:space="preserve">七、一般公共预算“三公”经费支出情况表</w:t>
      </w:r>
    </w:p>
    <w:p>
      <w:pPr>
        <w:pStyle w:val="Bodytext|2"/>
        <w:jc w:val="left"/>
        <w:rPr>
          <w:rFonts w:hint="eastAsia"/>
        </w:rPr>
      </w:pPr>
      <w:r>
        <w:rPr>
          <w:rFonts w:hint="eastAsia"/>
        </w:rPr>
        <w:t xml:space="preserve">八、政府性基金预算支出情况表</w:t>
      </w:r>
    </w:p>
    <w:p>
      <w:pPr>
        <w:pStyle w:val="Bodytext|2"/>
        <w:jc w:val="left"/>
        <w:rPr>
          <w:rFonts w:hint="eastAsia"/>
        </w:rPr>
      </w:pPr>
      <w:r>
        <w:rPr>
          <w:rFonts w:hint="eastAsia"/>
        </w:rPr>
        <w:t xml:space="preserve">九、国有资本经营预算支出情况表</w:t>
      </w:r>
    </w:p>
    <w:p>
      <w:pPr>
        <w:pStyle w:val="Bodytext|2"/>
        <w:jc w:val="left"/>
        <w:rPr>
          <w:rFonts w:eastAsia="宋体" w:hint="eastAsia"/>
          <w:lang w:eastAsia="zh-CN"/>
        </w:rPr>
      </w:pPr>
      <w:r>
        <w:rPr>
          <w:rFonts w:hint="eastAsia"/>
        </w:rPr>
        <w:t xml:space="preserve">十、2024年度预算项目绩效目标公开表</w:t>
      </w:r>
    </w:p>
    <w:p>
      <w:pPr>
        <w:pStyle w:val="Bodytext|2"/>
        <w:ind w:left="0" w:firstLine="320" w:leftChars="0" w:firstLineChars="100"/>
        <w:jc w:val="left"/>
        <w:rPr>
          <w:rFonts w:eastAsia="宋体" w:hint="eastAsia"/>
          <w:lang w:eastAsia="zh-CN"/>
        </w:rPr>
        <w:sectPr>
          <w:footerReference w:type="default" r:id="rId7"/>
          <w:pgSz w:w="11900" w:h="16840" w:orient="portrait"/>
          <w:pgMar w:top="1508" w:right="1674" w:bottom="1508" w:left="1851" w:header="0" w:footer="1077" w:gutter="0"/>
          <w:pgBorders>
            <w:top w:val="none" w:sz="0" w:space="0" w:color="auto"/>
            <w:left w:val="none" w:sz="0" w:space="0" w:color="auto"/>
            <w:bottom w:val="none" w:sz="0" w:space="0" w:color="auto"/>
            <w:right w:val="none" w:sz="0" w:space="0" w:color="auto"/>
          </w:pgBorders>
          <w:pgNumType w:fmt="decimal"/>
          <w:cols w:num="1" w:space="720">
            <w:col w:w="8375" w:space="720"/>
          </w:cols>
          <w:docGrid w:linePitch="360" w:charSpace="0"/>
        </w:sectPr>
      </w:pPr>
      <w:r>
        <w:t xml:space="preserve">第四部分</w:t>
      </w:r>
      <w:r>
        <w:rPr>
          <w:rFonts w:hint="eastAsia"/>
          <w:lang w:eastAsia="zh-CN"/>
        </w:rPr>
        <w:t xml:space="preserve">：</w:t>
      </w:r>
      <w:r>
        <w:t xml:space="preserve">名词</w:t>
      </w:r>
      <w:r>
        <w:rPr>
          <w:rFonts w:hint="eastAsia"/>
          <w:lang w:val="en-US" w:eastAsia="zh-CN"/>
        </w:rPr>
        <w:t xml:space="preserve">解释</w:t>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both"/>
        <w:textAlignment w:val="auto"/>
        <w:rPr>
          <w:b/>
          <w:bCs/>
          <w:sz w:val="40"/>
          <w:szCs w:val="40"/>
        </w:rPr>
      </w:pPr>
      <w:bookmarkStart w:id="3" w:name="bookmark14"/>
      <w:bookmarkStart w:id="4" w:name="bookmark12"/>
      <w:bookmarkStart w:id="5" w:name="bookmark13"/>
      <w:r>
        <w:rPr>
          <w:b/>
          <w:bCs/>
          <w:sz w:val="40"/>
          <w:szCs w:val="40"/>
        </w:rPr>
        <w:t xml:space="preserve">第一部分</w:t>
      </w:r>
      <w:r>
        <w:rPr>
          <w:rFonts w:hint="eastAsia"/>
          <w:b/>
          <w:bCs/>
          <w:sz w:val="40"/>
          <w:szCs w:val="40"/>
          <w:lang w:eastAsia="zh-CN"/>
        </w:rPr>
        <w:t xml:space="preserve">：</w:t>
      </w:r>
      <w:r>
        <w:rPr>
          <w:b/>
          <w:sz w:val="40"/>
          <w:u w:color="auto"/>
        </w:rPr>
        <w:t xml:space="preserve">环江毛南族自治县中医医院</w:t>
      </w:r>
      <w:r>
        <w:rPr>
          <w:b/>
          <w:bCs/>
          <w:sz w:val="40"/>
          <w:szCs w:val="40"/>
        </w:rPr>
        <w:t xml:space="preserve">概况</w:t>
      </w:r>
      <w:bookmarkEnd w:id="3"/>
      <w:bookmarkEnd w:id="4"/>
      <w:bookmarkEnd w:id="5"/>
    </w:p>
    <w:p>
      <w:pPr>
        <w:pStyle w:val="Bodytext|2"/>
        <w:spacing w:after="0" w:line="619" w:lineRule="exact"/>
        <w:ind w:firstLine="620"/>
        <w:jc w:val="left"/>
        <w:rPr>
          <w:b/>
          <w:bCs/>
        </w:rPr>
      </w:pPr>
      <w:r>
        <w:rPr>
          <w:rFonts w:hint="eastAsia"/>
          <w:b/>
          <w:bCs/>
          <w:lang w:val="en-US" w:eastAsia="zh-CN"/>
        </w:rPr>
        <w:t xml:space="preserve">一、</w:t>
      </w:r>
      <w:r>
        <w:rPr>
          <w:b/>
          <w:bCs/>
        </w:rPr>
        <w:t xml:space="preserve">主要职责</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主要职责：环江毛南族自治县中医医院建于2023年6月，是运用中医中药防治疾病，保障人民健康的社会主义医疗卫生事业单位。</w:t>
      </w:r>
    </w:p>
    <w:p>
      <w:pPr>
        <w:pStyle w:val="Bodytext|2"/>
        <w:spacing w:after="0" w:line="619" w:lineRule="exact"/>
        <w:ind w:firstLine="620"/>
        <w:jc w:val="left"/>
        <w:rPr>
          <w:rFonts w:hint="eastAsia"/>
          <w:b/>
          <w:bCs/>
          <w:lang w:val="en-US" w:eastAsia="zh-CN"/>
        </w:rPr>
      </w:pPr>
      <w:bookmarkStart w:id="6" w:name="bookmark24"/>
      <w:r>
        <w:rPr>
          <w:rFonts w:hint="eastAsia"/>
          <w:b/>
          <w:bCs/>
          <w:lang w:val="en-US" w:eastAsia="zh-CN"/>
        </w:rPr>
        <w:t xml:space="preserve">二</w:t>
      </w:r>
      <w:bookmarkEnd w:id="6"/>
      <w:r>
        <w:rPr>
          <w:rFonts w:hint="eastAsia"/>
          <w:b/>
          <w:bCs/>
          <w:lang w:val="en-US" w:eastAsia="zh-CN"/>
        </w:rPr>
        <w:t xml:space="preserve">、机构设置情况</w:t>
      </w:r>
    </w:p>
    <w:p>
      <w:pPr>
        <w:pStyle w:val="Bodytext|1"/>
        <w:spacing w:line="623" w:lineRule="exact"/>
        <w:ind w:left="0" w:firstLine="560" w:leftChars="0" w:firstLineChars="200"/>
        <w:jc w:val="left"/>
        <w:rPr>
          <w:rFonts w:hint="default"/>
          <w:highlight w:val="yellow"/>
          <w:lang w:val="en-US" w:eastAsia="zh-CN"/>
        </w:rPr>
      </w:pPr>
      <w:r>
        <w:rPr>
          <w:rFonts w:hint="eastAsia"/>
          <w:highlight w:val="none"/>
          <w:lang w:val="en-US" w:eastAsia="zh-CN"/>
        </w:rPr>
        <w:t xml:space="preserve">本部门无下属单位，部门预算为县本级预算。</w:t>
      </w:r>
    </w:p>
    <w:p>
      <w:pPr>
        <w:pStyle w:val="Bodytext|1"/>
        <w:spacing w:line="623" w:lineRule="exact"/>
        <w:ind w:firstLine="1018" w:firstLineChars="0"/>
        <w:jc w:val="left"/>
        <w:rPr>
          <w:rFonts w:hint="eastAsia"/>
          <w:highlight w:val="none"/>
          <w:lang w:val="en-US" w:eastAsia="zh-CN"/>
        </w:rPr>
      </w:pPr>
    </w:p>
    <w:p>
      <w:pPr>
        <w:pStyle w:val="Bodytext|1"/>
        <w:spacing w:line="623" w:lineRule="exact"/>
        <w:ind w:firstLine="1018" w:firstLineChars="0"/>
        <w:jc w:val="left"/>
        <w:rPr>
          <w:rFonts w:hint="eastAsia"/>
          <w:highlight w:val="none"/>
          <w:lang w:val="en-US" w:eastAsia="zh-CN"/>
        </w:rPr>
      </w:pPr>
    </w:p>
    <w:p>
      <w:pPr/>
      <w:r>
        <w:br w:type="page"/>
      </w:r>
    </w:p>
    <w:p>
      <w:pPr>
        <w:pStyle w:val="Heading#1|1"/>
        <w:keepNext/>
        <w:keepLines/>
        <w:pageBreakBefore w:val="0"/>
        <w:widowControl w:val="0"/>
        <w:kinsoku/>
        <w:wordWrap/>
        <w:overflowPunct/>
        <w:topLinePunct w:val="0"/>
        <w:autoSpaceDE/>
        <w:autoSpaceDN/>
        <w:bidi w:val="0"/>
        <w:adjustRightInd/>
        <w:snapToGrid/>
        <w:spacing w:before="120" w:after="0" w:line="600" w:lineRule="exact"/>
        <w:jc w:val="center"/>
        <w:textAlignment w:val="auto"/>
        <w:rPr>
          <w:b/>
          <w:bCs/>
          <w:sz w:val="40"/>
          <w:szCs w:val="40"/>
        </w:rPr>
      </w:pPr>
      <w:bookmarkStart w:id="7" w:name="bookmark69"/>
      <w:bookmarkStart w:id="8" w:name="bookmark70"/>
      <w:bookmarkStart w:id="9" w:name="bookmark68"/>
      <w:bookmarkStart w:id="10" w:name="bookmark28"/>
      <w:bookmarkStart w:id="11" w:name="bookmark26"/>
      <w:bookmarkStart w:id="12" w:name="bookmark27"/>
      <w:r>
        <w:rPr>
          <w:b/>
          <w:bCs/>
          <w:sz w:val="40"/>
          <w:szCs w:val="40"/>
        </w:rPr>
        <w:t xml:space="preserve">第</w:t>
      </w:r>
      <w:r>
        <w:rPr>
          <w:rFonts w:hint="eastAsia"/>
          <w:b/>
          <w:bCs/>
          <w:sz w:val="40"/>
          <w:szCs w:val="40"/>
          <w:lang w:val="en-US" w:eastAsia="zh-CN"/>
        </w:rPr>
        <w:t xml:space="preserve">二</w:t>
      </w:r>
      <w:r>
        <w:rPr>
          <w:b/>
          <w:bCs/>
          <w:sz w:val="40"/>
          <w:szCs w:val="40"/>
        </w:rPr>
        <w:t xml:space="preserve">部分</w:t>
      </w:r>
      <w:r>
        <w:rPr>
          <w:rFonts w:hint="eastAsia"/>
          <w:b/>
          <w:bCs/>
          <w:sz w:val="40"/>
          <w:szCs w:val="40"/>
          <w:lang w:eastAsia="zh-CN"/>
        </w:rPr>
        <w:t xml:space="preserve">：</w:t>
      </w:r>
      <w:bookmarkEnd w:id="7"/>
      <w:bookmarkEnd w:id="8"/>
      <w:bookmarkEnd w:id="9"/>
      <w:r>
        <w:rPr>
          <w:rFonts w:hint="eastAsia"/>
          <w:b/>
          <w:bCs/>
          <w:sz w:val="40"/>
          <w:szCs w:val="40"/>
          <w:lang w:eastAsia="zh-CN"/>
        </w:rPr>
        <w:t xml:space="preserve">环江毛南族自治县中医医院</w:t>
      </w:r>
      <w:r>
        <w:rPr>
          <w:b/>
          <w:sz w:val="40"/>
          <w:u w:color="auto"/>
        </w:rPr>
        <w:t xml:space="preserve">2024</w:t>
      </w:r>
      <w:r>
        <w:rPr>
          <w:b/>
          <w:sz w:val="40"/>
          <w:u w:color="auto"/>
        </w:rPr>
        <w:t xml:space="preserve">年部门预算情况说明</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3" w:name="bookmark71"/>
      <w:r>
        <w:rPr>
          <w:rFonts w:hint="eastAsia"/>
          <w:b/>
          <w:bCs/>
          <w:lang w:val="en-US" w:eastAsia="zh-CN"/>
        </w:rPr>
        <w:t xml:space="preserve">一</w:t>
      </w:r>
      <w:bookmarkEnd w:id="13"/>
      <w:r>
        <w:rPr>
          <w:rFonts w:hint="eastAsia"/>
          <w:b/>
          <w:bCs/>
          <w:lang w:val="en-US" w:eastAsia="zh-CN"/>
        </w:rPr>
        <w:t xml:space="preserve">、部门预算收支总体情况说明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Times New Roman" w:hAnsi="Times New Roman" w:cs="Times New Roman"/>
          <w:b/>
          <w:bCs/>
          <w:sz w:val="28"/>
          <w:szCs w:val="28"/>
          <w:lang w:val="en-US" w:eastAsia="zh-CN"/>
        </w:rPr>
      </w:pPr>
      <w:r>
        <w:rPr>
          <w:rFonts w:hint="eastAsia"/>
          <w:b w:val="0"/>
          <w:bCs w:val="0"/>
          <w:sz w:val="28"/>
          <w:szCs w:val="28"/>
        </w:rPr>
        <w:t xml:space="preserve">我部门总收入</w:t>
      </w:r>
      <w:r>
        <w:rPr>
          <w:rFonts w:hint="eastAsia"/>
          <w:sz w:val="28"/>
          <w:szCs w:val="28"/>
          <w:lang w:val="en-US" w:eastAsia="zh-CN"/>
        </w:rPr>
        <w:t xml:space="preserve">1114.89</w:t>
      </w:r>
      <w:r>
        <w:rPr>
          <w:rFonts w:hint="eastAsia"/>
          <w:b w:val="0"/>
          <w:bCs w:val="0"/>
          <w:sz w:val="28"/>
          <w:szCs w:val="28"/>
        </w:rPr>
        <w:t xml:space="preserve">万元，总支出</w:t>
      </w:r>
      <w:r>
        <w:rPr>
          <w:rFonts w:hint="eastAsia"/>
          <w:sz w:val="28"/>
          <w:szCs w:val="28"/>
          <w:lang w:val="en-US" w:eastAsia="zh-CN"/>
        </w:rPr>
        <w:t xml:space="preserve">1114.89</w:t>
      </w:r>
      <w:r>
        <w:rPr>
          <w:rFonts w:hint="eastAsia"/>
          <w:b w:val="0"/>
          <w:bCs w:val="0"/>
          <w:sz w:val="28"/>
          <w:szCs w:val="28"/>
        </w:rPr>
        <w:t xml:space="preserve">万元。总收入较2023年度预算数</w:t>
      </w:r>
      <w:r>
        <w:rPr>
          <w:rFonts w:hint="eastAsia"/>
          <w:sz w:val="28"/>
          <w:szCs w:val="28"/>
          <w:lang w:val="en-US" w:eastAsia="zh-CN"/>
        </w:rPr>
        <w:t xml:space="preserve">0.00</w:t>
      </w:r>
      <w:r>
        <w:rPr>
          <w:rFonts w:hint="eastAsia"/>
          <w:b w:val="0"/>
          <w:bCs w:val="0"/>
          <w:sz w:val="28"/>
          <w:szCs w:val="28"/>
        </w:rPr>
        <w:t xml:space="preserve">万元，</w:t>
      </w:r>
      <w:r>
        <w:rPr>
          <w:rFonts w:hint="eastAsia"/>
          <w:sz w:val="28"/>
          <w:szCs w:val="28"/>
        </w:rPr>
        <w:t xml:space="preserve">增加1114.89</w:t>
      </w:r>
      <w:r>
        <w:rPr>
          <w:rFonts w:hint="eastAsia"/>
          <w:b w:val="0"/>
          <w:bCs w:val="0"/>
          <w:sz w:val="28"/>
          <w:szCs w:val="28"/>
        </w:rPr>
        <w:t xml:space="preserve">万元，</w:t>
      </w:r>
      <w:r>
        <w:rPr>
          <w:rFonts w:hint="eastAsia"/>
          <w:sz w:val="28"/>
          <w:szCs w:val="28"/>
        </w:rPr>
        <w:t xml:space="preserve">增长100%</w:t>
      </w:r>
      <w:r>
        <w:rPr>
          <w:rFonts w:hint="eastAsia"/>
          <w:b w:val="0"/>
          <w:bCs w:val="0"/>
          <w:sz w:val="28"/>
          <w:szCs w:val="28"/>
        </w:rPr>
        <w:t xml:space="preserve">，主要原因是</w:t>
      </w:r>
      <w:r>
        <w:rPr>
          <w:rFonts w:hint="eastAsia"/>
          <w:highlight w:val="none"/>
          <w:lang w:val="en-US" w:eastAsia="zh-CN"/>
        </w:rPr>
        <w:t xml:space="preserve">本部门为2023年6月设立单位，没有上年同期数</w:t>
      </w:r>
      <w:r>
        <w:rPr>
          <w:rFonts w:hint="eastAsia"/>
          <w:b w:val="0"/>
          <w:bCs w:val="0"/>
          <w:sz w:val="28"/>
          <w:szCs w:val="28"/>
        </w:rPr>
        <w:t xml:space="preserve">。总支出较2023年度预算数</w:t>
      </w:r>
      <w:r>
        <w:rPr>
          <w:rFonts w:hint="eastAsia"/>
          <w:sz w:val="28"/>
          <w:szCs w:val="28"/>
          <w:lang w:val="en-US" w:eastAsia="zh-CN"/>
        </w:rPr>
        <w:t xml:space="preserve">0.00</w:t>
      </w:r>
      <w:r>
        <w:rPr>
          <w:rFonts w:hint="eastAsia"/>
          <w:b w:val="0"/>
          <w:bCs w:val="0"/>
          <w:sz w:val="28"/>
          <w:szCs w:val="28"/>
        </w:rPr>
        <w:t xml:space="preserve">万元，</w:t>
      </w:r>
      <w:r>
        <w:rPr>
          <w:rFonts w:hint="eastAsia"/>
          <w:sz w:val="28"/>
          <w:szCs w:val="28"/>
        </w:rPr>
        <w:t xml:space="preserve">增加1114.89</w:t>
      </w:r>
      <w:r>
        <w:rPr>
          <w:rFonts w:hint="eastAsia"/>
          <w:b w:val="0"/>
          <w:bCs w:val="0"/>
          <w:sz w:val="28"/>
          <w:szCs w:val="28"/>
        </w:rPr>
        <w:t xml:space="preserve">万元，</w:t>
      </w:r>
      <w:r>
        <w:rPr>
          <w:rFonts w:hint="eastAsia"/>
          <w:sz w:val="28"/>
          <w:szCs w:val="28"/>
        </w:rPr>
        <w:t xml:space="preserve">增长100%</w:t>
      </w:r>
      <w:r>
        <w:rPr>
          <w:rFonts w:hint="eastAsia"/>
          <w:b w:val="0"/>
          <w:bCs w:val="0"/>
          <w:sz w:val="28"/>
          <w:szCs w:val="28"/>
        </w:rPr>
        <w:t xml:space="preserve">，主要原因是</w:t>
      </w:r>
      <w:r>
        <w:rPr>
          <w:rFonts w:hint="eastAsia"/>
          <w:highlight w:val="none"/>
          <w:lang w:val="en-US" w:eastAsia="zh-CN"/>
        </w:rPr>
        <w:t xml:space="preserve">本部门为2023年6月设立单位，没有上年同期数</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二、部门收入总体情况说明</w:t>
      </w:r>
    </w:p>
    <w:p>
      <w:pPr>
        <w:pStyle w:val="Bodytext|1"/>
        <w:spacing w:line="240" w:lineRule="auto"/>
        <w:ind w:firstLine="0"/>
        <w:jc w:val="left"/>
        <w:rPr>
          <w:rFonts w:ascii="Times New Roman" w:hAnsi="Times New Roman" w:cs="Times New Roman"/>
          <w:sz w:val="30"/>
          <w:szCs w:val="30"/>
          <w:lang w:val="en-US" w:eastAsia="zh-CN"/>
        </w:rPr>
      </w:pPr>
      <w:r>
        <w:rPr>
          <w:rFonts w:ascii="Times New Roman" w:hAnsi="Times New Roman" w:cs="Times New Roman"/>
          <w:sz w:val="30"/>
          <w:szCs w:val="30"/>
          <w:lang w:val="en-US" w:eastAsia="zh-CN"/>
        </w:rPr>
        <w:drawing>
          <wp:inline distT="0" distB="0" distL="114300" distR="114300">
            <wp:extent cx="4257040" cy="3139440"/>
            <wp:effectExtent l="4445" t="4445" r="5715" b="18415"/>
            <wp:docPr id="180" name="图表 6" title="{{img_rs_table}}"/>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8"/>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u w:color="auto"/>
          <w:lang w:eastAsia="zh-CN"/>
        </w:rPr>
        <w:t xml:space="preserve">2024</w:t>
      </w:r>
      <w:r>
        <w:rPr>
          <w:rFonts w:ascii="宋体" w:eastAsia="宋体" w:hAnsi="宋体" w:cs="宋体" w:hint="eastAsia"/>
          <w:sz w:val="28"/>
          <w:szCs w:val="28"/>
          <w:u w:color="auto"/>
        </w:rPr>
        <w:t xml:space="preserve">年我部门总收入</w:t>
      </w:r>
      <w:r>
        <w:rPr>
          <w:rFonts w:ascii="宋体" w:eastAsia="宋体" w:hAnsi="宋体" w:cs="宋体" w:hint="eastAsia"/>
          <w:sz w:val="28"/>
          <w:szCs w:val="28"/>
          <w:lang w:val="en-US" w:eastAsia="zh-CN"/>
        </w:rPr>
        <w:t xml:space="preserve">1114.89</w:t>
      </w:r>
      <w:r>
        <w:rPr>
          <w:rFonts w:ascii="宋体" w:eastAsia="宋体" w:hAnsi="宋体" w:cs="宋体" w:hint="eastAsia"/>
          <w:sz w:val="28"/>
          <w:szCs w:val="28"/>
          <w:u w:color="auto"/>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增加1114.89</w:t>
      </w:r>
      <w:r>
        <w:rPr>
          <w:rFonts w:ascii="宋体" w:eastAsia="宋体" w:hAnsi="宋体" w:cs="宋体" w:hint="eastAsia"/>
          <w:sz w:val="28"/>
          <w:szCs w:val="28"/>
          <w:u w:color="auto"/>
        </w:rPr>
        <w:t xml:space="preserve">万元，</w:t>
      </w:r>
      <w:r>
        <w:rPr>
          <w:rFonts w:ascii="宋体" w:eastAsia="宋体" w:hAnsi="宋体" w:cs="宋体" w:hint="eastAsia"/>
          <w:sz w:val="28"/>
          <w:szCs w:val="28"/>
        </w:rPr>
        <w:t xml:space="preserve">增长100%</w:t>
      </w:r>
      <w:r>
        <w:rPr>
          <w:rFonts w:ascii="宋体" w:eastAsia="宋体" w:hAnsi="宋体" w:cs="宋体" w:hint="eastAsia"/>
          <w:sz w:val="28"/>
          <w:szCs w:val="28"/>
          <w:u w:color="auto"/>
        </w:rPr>
        <w:t xml:space="preserve">，主要原因是</w:t>
      </w:r>
      <w:r>
        <w:rPr>
          <w:rFonts w:hint="eastAsia"/>
          <w:highlight w:val="none"/>
          <w:lang w:val="en-US" w:eastAsia="zh-CN"/>
        </w:rPr>
        <w:t xml:space="preserve">本部门为2023年6月设立单位，没有上年同期数</w:t>
      </w:r>
      <w:r>
        <w:rPr>
          <w:rFonts w:ascii="宋体" w:eastAsia="宋体" w:hAnsi="宋体" w:cs="宋体" w:hint="eastAsia"/>
          <w:sz w:val="28"/>
          <w:szCs w:val="28"/>
          <w:u w:color="auto"/>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三、部门支出总体情况说明</w:t>
      </w:r>
    </w:p>
    <w:p>
      <w:pPr>
        <w:pStyle w:val="Bodytext|1"/>
        <w:spacing w:line="240" w:lineRule="auto"/>
        <w:ind w:firstLine="0"/>
        <w:jc w:val="left"/>
        <w:rPr>
          <w:rFonts w:ascii="Times New Roman" w:eastAsia="Times New Roman" w:hAnsi="Times New Roman" w:cs="Times New Roman"/>
          <w:sz w:val="30"/>
          <w:szCs w:val="30"/>
        </w:rPr>
      </w:pPr>
      <w:r>
        <w:rPr>
          <w:rFonts w:ascii="Times New Roman" w:eastAsia="Times New Roman" w:hAnsi="Times New Roman" w:cs="Times New Roman"/>
          <w:sz w:val="30"/>
          <w:szCs w:val="30"/>
        </w:rPr>
        <w:drawing>
          <wp:inline distT="0" distB="0" distL="114300" distR="114300">
            <wp:extent cx="5080000" cy="3810000"/>
            <wp:effectExtent l="4445" t="4445" r="20955" b="14605"/>
            <wp:docPr id="181" name="图表 14" title="{{img_gnkm_zc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9"/>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年我部门总支出</w:t>
      </w:r>
      <w:r>
        <w:rPr>
          <w:rFonts w:ascii="宋体" w:eastAsia="宋体" w:hAnsi="宋体" w:cs="宋体" w:hint="eastAsia"/>
          <w:sz w:val="28"/>
          <w:szCs w:val="28"/>
          <w:lang w:val="en-US" w:eastAsia="zh-CN"/>
        </w:rPr>
        <w:t xml:space="preserve">1114.89</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增加1114.89</w:t>
      </w:r>
      <w:r>
        <w:rPr>
          <w:rFonts w:ascii="宋体" w:eastAsia="宋体" w:hAnsi="宋体" w:cs="宋体" w:hint="eastAsia"/>
          <w:sz w:val="28"/>
          <w:szCs w:val="28"/>
          <w:lang w:eastAsia="zh-CN"/>
        </w:rPr>
        <w:t xml:space="preserve">万元，</w:t>
      </w:r>
      <w:r>
        <w:rPr>
          <w:rFonts w:ascii="宋体" w:eastAsia="宋体" w:hAnsi="宋体" w:cs="宋体" w:hint="eastAsia"/>
          <w:sz w:val="28"/>
          <w:szCs w:val="28"/>
        </w:rPr>
        <w:t xml:space="preserve">增长100%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highlight w:val="none"/>
          <w:lang w:val="en-US" w:eastAsia="zh-CN"/>
        </w:rPr>
        <w:t xml:space="preserve">本部门为2023年6月设立单位，没有上年同期数</w:t>
      </w:r>
      <w:r>
        <w:rPr>
          <w:rFonts w:ascii="宋体" w:eastAsia="宋体" w:hAnsi="宋体" w:cs="宋体" w:hint="eastAsia"/>
          <w:sz w:val="28"/>
          <w:szCs w:val="28"/>
          <w:lang w:eastAsia="zh-CN"/>
        </w:rPr>
        <w:t xml:space="preserve">。主要包括：</w:t>
      </w:r>
      <w:r>
        <w:rPr>
          <w:rFonts w:ascii="宋体" w:eastAsia="宋体" w:hAnsi="宋体" w:cs="宋体" w:hint="eastAsia"/>
          <w:sz w:val="28"/>
          <w:szCs w:val="28"/>
          <w:highlight w:val="none"/>
          <w:lang w:val="en-US" w:eastAsia="zh-CN"/>
        </w:rPr>
        <w:t xml:space="preserve">本部门为2023年6月设立单位，没有上年同期数</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after="140" w:line="600" w:lineRule="exact"/>
        <w:ind w:firstLine="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（一）按支出功能分类科目划分，共分为</w:t>
      </w:r>
      <w:r>
        <w:rPr>
          <w:rFonts w:ascii="宋体" w:eastAsia="宋体" w:hAnsi="宋体" w:cs="宋体" w:hint="eastAsia"/>
          <w:sz w:val="28"/>
          <w:szCs w:val="28"/>
          <w:lang w:val="en-US" w:eastAsia="zh-CN"/>
        </w:rPr>
        <w:t xml:space="preserve">4</w:t>
      </w:r>
      <w:r>
        <w:rPr>
          <w:rFonts w:ascii="宋体" w:eastAsia="宋体" w:hAnsi="宋体" w:cs="宋体" w:hint="eastAsia"/>
          <w:sz w:val="28"/>
          <w:szCs w:val="28"/>
        </w:rPr>
        <w:t xml:space="preserve">类，其中:</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卫生健康支出</w:t>
      </w:r>
      <w:r>
        <w:rPr>
          <w:rFonts w:ascii="宋体" w:eastAsia="宋体" w:hAnsi="宋体" w:cs="宋体" w:hint="eastAsia"/>
          <w:sz w:val="28"/>
          <w:szCs w:val="28"/>
          <w:lang w:val="en-US" w:eastAsia="zh-CN"/>
        </w:rPr>
        <w:t xml:space="preserve">1104.46</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99.06%</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增长1104.46</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本部门为2023年6月设立单位，没有上年同期数</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社会保障和就业支出</w:t>
      </w:r>
      <w:r>
        <w:rPr>
          <w:rFonts w:ascii="宋体" w:eastAsia="宋体" w:hAnsi="宋体" w:cs="宋体" w:hint="eastAsia"/>
          <w:sz w:val="28"/>
          <w:szCs w:val="28"/>
          <w:lang w:val="en-US" w:eastAsia="zh-CN"/>
        </w:rPr>
        <w:t xml:space="preserve">5.32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0.48%</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增长5.32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本部门为2023年6月设立单位，没有上年同期数</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3</w:t>
      </w:r>
      <w:r>
        <w:rPr>
          <w:rFonts w:ascii="宋体" w:eastAsia="宋体" w:hAnsi="宋体" w:cs="宋体"/>
          <w:sz w:val="28"/>
          <w:u w:color="auto"/>
        </w:rPr>
        <w:t xml:space="preserve">)</w:t>
      </w:r>
      <w:r>
        <w:rPr>
          <w:rFonts w:ascii="宋体" w:eastAsia="宋体" w:hAnsi="宋体" w:cs="宋体"/>
          <w:sz w:val="28"/>
          <w:u w:color="auto"/>
        </w:rPr>
        <w:t xml:space="preserve">一般公共服务支出</w:t>
      </w:r>
      <w:r>
        <w:rPr>
          <w:rFonts w:ascii="宋体" w:eastAsia="宋体" w:hAnsi="宋体" w:cs="宋体" w:hint="eastAsia"/>
          <w:sz w:val="28"/>
          <w:szCs w:val="28"/>
          <w:lang w:val="en-US" w:eastAsia="zh-CN"/>
        </w:rPr>
        <w:t xml:space="preserve">0.42</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0.04%</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增长0.42</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本部门为2023年6月设立单位，没有上年同期数</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w:t>
      </w:r>
      <w:r>
        <w:rPr>
          <w:rFonts w:ascii="宋体" w:eastAsia="宋体" w:hAnsi="宋体" w:cs="宋体"/>
          <w:sz w:val="28"/>
          <w:u w:color="auto"/>
        </w:rPr>
        <w:t xml:space="preserve">4</w:t>
      </w:r>
      <w:r>
        <w:rPr>
          <w:rFonts w:ascii="宋体" w:eastAsia="宋体" w:hAnsi="宋体" w:cs="宋体"/>
          <w:sz w:val="28"/>
          <w:u w:color="auto"/>
        </w:rPr>
        <w:t xml:space="preserve">)</w:t>
      </w:r>
      <w:r>
        <w:rPr>
          <w:rFonts w:ascii="宋体" w:eastAsia="宋体" w:hAnsi="宋体" w:cs="宋体"/>
          <w:sz w:val="28"/>
          <w:u w:color="auto"/>
        </w:rPr>
        <w:t xml:space="preserve">住房保障支出</w:t>
      </w:r>
      <w:r>
        <w:rPr>
          <w:rFonts w:ascii="宋体" w:eastAsia="宋体" w:hAnsi="宋体" w:cs="宋体" w:hint="eastAsia"/>
          <w:sz w:val="28"/>
          <w:szCs w:val="28"/>
          <w:lang w:val="en-US" w:eastAsia="zh-CN"/>
        </w:rPr>
        <w:t xml:space="preserve">4.68</w:t>
      </w:r>
      <w:r>
        <w:rPr>
          <w:rFonts w:ascii="宋体" w:eastAsia="宋体" w:hAnsi="宋体" w:cs="宋体" w:hint="eastAsia"/>
          <w:sz w:val="28"/>
          <w:szCs w:val="28"/>
        </w:rPr>
        <w:t xml:space="preserve">万元，占支出总预算</w:t>
      </w:r>
      <w:r>
        <w:rPr>
          <w:rFonts w:ascii="宋体" w:eastAsia="宋体" w:hAnsi="宋体" w:cs="宋体" w:hint="eastAsia"/>
          <w:sz w:val="28"/>
          <w:szCs w:val="28"/>
          <w:lang w:val="en-US" w:eastAsia="zh-CN"/>
        </w:rPr>
        <w:t xml:space="preserve">0.42%</w:t>
      </w:r>
      <w:r>
        <w:rPr>
          <w:rFonts w:ascii="宋体" w:eastAsia="宋体" w:hAnsi="宋体" w:cs="宋体" w:hint="eastAsia"/>
          <w:sz w:val="28"/>
          <w:szCs w:val="28"/>
        </w:rPr>
        <w:t xml:space="preserve">,比上年</w:t>
      </w:r>
      <w:r>
        <w:rPr>
          <w:rFonts w:ascii="宋体" w:eastAsia="宋体" w:hAnsi="宋体" w:cs="宋体" w:hint="eastAsia"/>
          <w:sz w:val="28"/>
          <w:szCs w:val="28"/>
          <w:lang w:val="en-US" w:eastAsia="zh-CN"/>
        </w:rPr>
        <w:t xml:space="preserve">增长4.68</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highlight w:val="none"/>
        </w:rPr>
        <w:t xml:space="preserve">主要原因是：</w:t>
      </w:r>
      <w:r>
        <w:rPr>
          <w:rFonts w:ascii="宋体" w:eastAsia="宋体" w:hAnsi="宋体" w:cs="宋体" w:hint="eastAsia"/>
          <w:sz w:val="28"/>
          <w:szCs w:val="28"/>
          <w:highlight w:val="none"/>
          <w:lang w:val="en-US" w:eastAsia="zh-CN"/>
        </w:rPr>
        <w:t xml:space="preserve">本部门为2023年6月设立单位，没有上年同期数</w:t>
      </w:r>
      <w:r>
        <w:rPr>
          <w:rFonts w:ascii="宋体" w:eastAsia="宋体" w:hAnsi="宋体" w:cs="宋体" w:hint="eastAsia"/>
          <w:sz w:val="28"/>
          <w:szCs w:val="28"/>
          <w:highlight w:val="none"/>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74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(二)按支出结构分类划分，分为基本支出预算和项目支出预算。</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基本支出预算。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基本支出预算</w:t>
      </w:r>
      <w:r>
        <w:rPr>
          <w:rFonts w:ascii="宋体" w:eastAsia="宋体" w:hAnsi="宋体" w:cs="宋体" w:hint="eastAsia"/>
          <w:sz w:val="28"/>
          <w:szCs w:val="28"/>
          <w:lang w:val="en-US" w:eastAsia="zh-CN"/>
        </w:rPr>
        <w:t xml:space="preserve">35.59</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3.19%</w:t>
      </w:r>
      <w:r>
        <w:rPr>
          <w:rFonts w:ascii="宋体" w:eastAsia="宋体" w:hAnsi="宋体" w:cs="宋体"/>
          <w:sz w:val="28"/>
          <w:u w:color="auto"/>
        </w:rPr>
        <w:t xml:space="preserve">,比上年</w:t>
      </w:r>
      <w:r>
        <w:rPr>
          <w:rFonts w:ascii="宋体" w:eastAsia="宋体" w:hAnsi="宋体" w:cs="宋体"/>
          <w:sz w:val="28"/>
          <w:u w:color="auto"/>
        </w:rPr>
        <w:t xml:space="preserve">增长35.59</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35.16</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98.79%</w:t>
      </w:r>
      <w:r>
        <w:rPr>
          <w:rFonts w:ascii="宋体" w:eastAsia="宋体" w:hAnsi="宋体" w:cs="宋体" w:hint="eastAsia"/>
          <w:sz w:val="28"/>
          <w:szCs w:val="28"/>
        </w:rPr>
        <w:t xml:space="preserve">,比上年</w:t>
      </w:r>
      <w:r>
        <w:rPr>
          <w:rFonts w:ascii="宋体" w:eastAsia="宋体" w:hAnsi="宋体" w:cs="宋体"/>
          <w:sz w:val="28"/>
          <w:u w:color="auto"/>
        </w:rPr>
        <w:t xml:space="preserve">增长35.16</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,主要原因是：本部门为2023年6月设立单位，没有上年同期数</w:t>
      </w:r>
      <w:r>
        <w:rPr>
          <w:rFonts w:ascii="宋体" w:eastAsia="宋体" w:hAnsi="宋体" w:cs="宋体" w:hint="eastAsia"/>
          <w:sz w:val="28"/>
          <w:szCs w:val="28"/>
          <w:lang w:val="en-US" w:eastAsia="zh-CN"/>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0.42</w:t>
      </w:r>
      <w:r>
        <w:rPr>
          <w:rFonts w:ascii="宋体" w:eastAsia="宋体" w:hAnsi="宋体" w:cs="宋体" w:hint="eastAsia"/>
          <w:sz w:val="28"/>
          <w:szCs w:val="28"/>
        </w:rPr>
        <w:t xml:space="preserve">万元，占基本支出总预算</w:t>
      </w:r>
      <w:r>
        <w:rPr>
          <w:rFonts w:ascii="宋体" w:eastAsia="宋体" w:hAnsi="宋体" w:cs="宋体" w:hint="eastAsia"/>
          <w:sz w:val="28"/>
          <w:szCs w:val="28"/>
          <w:lang w:val="en-US" w:eastAsia="zh-CN"/>
        </w:rPr>
        <w:t xml:space="preserve">1.18%</w:t>
      </w:r>
      <w:r>
        <w:rPr>
          <w:rFonts w:ascii="宋体" w:eastAsia="宋体" w:hAnsi="宋体" w:cs="宋体" w:hint="eastAsia"/>
          <w:sz w:val="28"/>
          <w:szCs w:val="28"/>
        </w:rPr>
        <w:t xml:space="preserve">,比上年</w:t>
      </w:r>
      <w:r>
        <w:rPr>
          <w:rFonts w:ascii="宋体" w:eastAsia="宋体" w:hAnsi="宋体" w:cs="宋体"/>
          <w:sz w:val="28"/>
          <w:u w:color="auto"/>
        </w:rPr>
        <w:t xml:space="preserve">增长0.42</w:t>
      </w:r>
      <w:r>
        <w:rPr>
          <w:rFonts w:ascii="宋体" w:eastAsia="宋体" w:hAnsi="宋体" w:cs="宋体"/>
          <w:sz w:val="28"/>
          <w:u w:color="auto"/>
        </w:rPr>
        <w:t xml:space="preserve">万元，</w:t>
      </w:r>
      <w:r>
        <w:rPr>
          <w:rFonts w:ascii="宋体" w:eastAsia="宋体" w:hAnsi="宋体" w:cs="宋体"/>
          <w:sz w:val="28"/>
          <w:u w:color="auto"/>
        </w:rPr>
        <w:t xml:space="preserve">增长100%</w:t>
      </w:r>
      <w:r>
        <w:rPr>
          <w:rFonts w:ascii="宋体" w:eastAsia="宋体" w:hAnsi="宋体" w:cs="宋体"/>
          <w:sz w:val="28"/>
          <w:u w:color="auto"/>
        </w:rPr>
        <w:t xml:space="preserve">,主要原因是：本部门为2023年6月设立单位，没有上年同期数</w:t>
      </w:r>
      <w:r>
        <w:rPr>
          <w:rFonts w:ascii="宋体" w:eastAsia="宋体" w:hAnsi="宋体" w:cs="宋体" w:hint="eastAsia"/>
          <w:sz w:val="28"/>
          <w:szCs w:val="28"/>
          <w:lang w:val="en-US" w:eastAsia="zh-CN"/>
        </w:rPr>
        <w:t xml:space="preserve">。</w:t>
      </w:r>
    </w:p>
    <w:p>
      <w:pPr>
        <w:pStyle w:val="Bodytext|1"/>
        <w:keepNext w:val="0"/>
        <w:keepLines w:val="0"/>
        <w:pageBreakBefore w:val="0"/>
        <w:widowControl w:val="0"/>
        <w:numPr>
          <w:ilvl w:val="0"/>
          <w:numId w:val="3"/>
        </w:numPr>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b w:val="0"/>
          <w:bCs w:val="0"/>
          <w:color w:val="000000"/>
          <w:sz w:val="28"/>
          <w:szCs w:val="28"/>
          <w:lang w:val="zh-TW" w:eastAsia="zh-TW" w:bidi="zh-TW"/>
        </w:rPr>
      </w:pPr>
      <w:r>
        <w:rPr>
          <w:rFonts w:ascii="宋体" w:eastAsia="宋体" w:hAnsi="宋体" w:cs="宋体" w:hint="eastAsia"/>
          <w:b w:val="0"/>
          <w:bCs w:val="0"/>
          <w:color w:val="000000"/>
          <w:sz w:val="28"/>
          <w:szCs w:val="28"/>
          <w:lang w:val="zh-TW" w:eastAsia="zh-TW" w:bidi="zh-TW"/>
        </w:rPr>
        <w:t xml:space="preserve">项目支出预算。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ascii="宋体" w:eastAsia="宋体" w:hAnsi="宋体" w:cs="宋体" w:hint="eastAsia"/>
          <w:sz w:val="28"/>
          <w:szCs w:val="28"/>
          <w:lang w:val="en-US" w:eastAsia="zh-CN"/>
        </w:rPr>
      </w:pPr>
      <w:r>
        <w:rPr>
          <w:rFonts w:ascii="宋体" w:eastAsia="宋体" w:hAnsi="宋体" w:cs="宋体" w:hint="eastAsia"/>
          <w:sz w:val="28"/>
          <w:szCs w:val="28"/>
        </w:rPr>
        <w:t xml:space="preserve">项目支出预算</w:t>
      </w:r>
      <w:r>
        <w:rPr>
          <w:rFonts w:ascii="宋体" w:eastAsia="宋体" w:hAnsi="宋体" w:cs="宋体" w:hint="eastAsia"/>
          <w:sz w:val="28"/>
          <w:szCs w:val="28"/>
          <w:lang w:val="en-US" w:eastAsia="zh-CN"/>
        </w:rPr>
        <w:t xml:space="preserve">1079.30</w:t>
      </w:r>
      <w:r>
        <w:rPr>
          <w:rFonts w:ascii="宋体" w:eastAsia="宋体" w:hAnsi="宋体" w:cs="宋体" w:hint="eastAsia"/>
          <w:sz w:val="28"/>
          <w:szCs w:val="28"/>
        </w:rPr>
        <w:t xml:space="preserve">万元，占支出预算</w:t>
      </w:r>
      <w:r>
        <w:rPr>
          <w:rFonts w:ascii="宋体" w:eastAsia="宋体" w:hAnsi="宋体" w:cs="宋体"/>
          <w:sz w:val="28"/>
          <w:u w:color="auto"/>
        </w:rPr>
        <w:t xml:space="preserve">96.81%</w:t>
      </w:r>
      <w:r>
        <w:rPr>
          <w:rFonts w:ascii="宋体" w:eastAsia="宋体" w:hAnsi="宋体" w:cs="宋体" w:hint="eastAsia"/>
          <w:sz w:val="28"/>
          <w:szCs w:val="28"/>
        </w:rPr>
        <w:t xml:space="preserve">,比上年</w:t>
      </w:r>
      <w:r>
        <w:rPr>
          <w:rFonts w:ascii="宋体" w:eastAsia="宋体" w:hAnsi="宋体" w:cs="宋体"/>
          <w:sz w:val="28"/>
          <w:u w:color="auto"/>
        </w:rPr>
        <w:t xml:space="preserve">增长1079.30</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w:t>
      </w:r>
      <w:r>
        <w:rPr>
          <w:rFonts w:ascii="宋体" w:eastAsia="宋体" w:hAnsi="宋体" w:cs="宋体" w:hint="eastAsia"/>
          <w:sz w:val="28"/>
          <w:szCs w:val="28"/>
          <w:lang w:val="en-US" w:eastAsia="zh-CN"/>
        </w:rPr>
        <w:t xml:space="preserve">其中：</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1</w:t>
      </w:r>
      <w:r>
        <w:rPr>
          <w:rFonts w:ascii="宋体" w:eastAsia="宋体" w:hAnsi="宋体" w:cs="宋体"/>
          <w:sz w:val="28"/>
          <w:u w:color="auto"/>
        </w:rPr>
        <w:t xml:space="preserve">)</w:t>
      </w:r>
      <w:r>
        <w:rPr>
          <w:rFonts w:ascii="宋体" w:eastAsia="宋体" w:hAnsi="宋体" w:cs="宋体"/>
          <w:sz w:val="28"/>
          <w:u w:color="auto"/>
        </w:rPr>
        <w:t xml:space="preserve">工资福利支出</w:t>
      </w:r>
      <w:r>
        <w:rPr>
          <w:rFonts w:ascii="宋体" w:eastAsia="宋体" w:hAnsi="宋体" w:cs="宋体" w:hint="eastAsia"/>
          <w:sz w:val="28"/>
          <w:szCs w:val="28"/>
          <w:lang w:val="en-US" w:eastAsia="zh-CN"/>
        </w:rPr>
        <w:t xml:space="preserve">619.10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57.36%</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增长619.10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本部门为2023年6月设立单位，没有上年同期数</w:t>
      </w:r>
      <w:r>
        <w:rPr>
          <w:rFonts w:ascii="宋体" w:eastAsia="宋体" w:hAnsi="宋体" w:cs="宋体" w:hint="eastAsia"/>
          <w:color w:val="000000"/>
          <w:sz w:val="28"/>
          <w:szCs w:val="28"/>
          <w:lang w:val="en-US" w:eastAsia="zh-CN" w:bidi="zh-TW"/>
        </w:rPr>
        <w:t xml:space="preserve">。</w:t>
      </w:r>
    </w:p>
    <w:p>
      <w:pPr>
        <w:pStyle w:val="Bodytext|3"/>
        <w:keepNext w:val="0"/>
        <w:keepLines w:val="0"/>
        <w:pageBreakBefore w:val="0"/>
        <w:widowControl w:val="0"/>
        <w:kinsoku/>
        <w:wordWrap/>
        <w:overflowPunct/>
        <w:topLinePunct w:val="0"/>
        <w:autoSpaceDE/>
        <w:autoSpaceDN/>
        <w:bidi w:val="0"/>
        <w:adjustRightInd/>
        <w:snapToGrid/>
        <w:spacing w:after="0" w:line="600" w:lineRule="exact"/>
        <w:ind w:firstLine="740"/>
        <w:jc w:val="left"/>
        <w:textAlignment w:val="auto"/>
        <w:rPr>
          <w:rFonts w:ascii="宋体" w:eastAsia="宋体" w:hAnsi="宋体" w:cs="宋体" w:hint="eastAsia"/>
          <w:color w:val="000000"/>
          <w:sz w:val="28"/>
          <w:szCs w:val="28"/>
          <w:lang w:val="en-US" w:eastAsia="zh-CN" w:bidi="zh-TW"/>
        </w:rPr>
      </w:pPr>
      <w:r>
        <w:rPr>
          <w:rFonts w:ascii="宋体" w:eastAsia="宋体" w:hAnsi="宋体" w:cs="宋体" w:hint="eastAsia"/>
          <w:sz w:val="28"/>
          <w:szCs w:val="28"/>
        </w:rPr>
        <w:t xml:space="preserve">(</w:t>
      </w:r>
      <w:r>
        <w:rPr>
          <w:rFonts w:ascii="宋体" w:eastAsia="宋体" w:hAnsi="宋体" w:cs="宋体"/>
          <w:sz w:val="28"/>
          <w:u w:color="auto"/>
        </w:rPr>
        <w:t xml:space="preserve">2</w:t>
      </w:r>
      <w:r>
        <w:rPr>
          <w:rFonts w:ascii="宋体" w:eastAsia="宋体" w:hAnsi="宋体" w:cs="宋体"/>
          <w:sz w:val="28"/>
          <w:u w:color="auto"/>
        </w:rPr>
        <w:t xml:space="preserve">)</w:t>
      </w:r>
      <w:r>
        <w:rPr>
          <w:rFonts w:ascii="宋体" w:eastAsia="宋体" w:hAnsi="宋体" w:cs="宋体"/>
          <w:sz w:val="28"/>
          <w:u w:color="auto"/>
        </w:rPr>
        <w:t xml:space="preserve">商品和服务支出</w:t>
      </w:r>
      <w:r>
        <w:rPr>
          <w:rFonts w:ascii="宋体" w:eastAsia="宋体" w:hAnsi="宋体" w:cs="宋体" w:hint="eastAsia"/>
          <w:sz w:val="28"/>
          <w:szCs w:val="28"/>
          <w:lang w:val="en-US" w:eastAsia="zh-CN"/>
        </w:rPr>
        <w:t xml:space="preserve">460.20</w:t>
      </w:r>
      <w:r>
        <w:rPr>
          <w:rFonts w:ascii="宋体" w:eastAsia="宋体" w:hAnsi="宋体" w:cs="宋体" w:hint="eastAsia"/>
          <w:sz w:val="28"/>
          <w:szCs w:val="28"/>
        </w:rPr>
        <w:t xml:space="preserve">万元，占项</w:t>
      </w:r>
      <w:r>
        <w:rPr>
          <w:rFonts w:ascii="宋体" w:eastAsia="宋体" w:hAnsi="宋体" w:cs="宋体" w:hint="eastAsia"/>
          <w:color w:val="000000"/>
          <w:sz w:val="28"/>
          <w:szCs w:val="28"/>
          <w:lang w:val="zh-TW" w:eastAsia="zh-TW" w:bidi="zh-TW"/>
        </w:rPr>
        <w:t xml:space="preserve">目支出总预算</w:t>
      </w:r>
      <w:r>
        <w:rPr>
          <w:rFonts w:ascii="宋体" w:eastAsia="宋体" w:hAnsi="宋体" w:cs="宋体" w:hint="eastAsia"/>
          <w:color w:val="000000"/>
          <w:sz w:val="28"/>
          <w:szCs w:val="28"/>
          <w:lang w:val="en-US" w:eastAsia="zh-CN" w:bidi="zh-TW"/>
        </w:rPr>
        <w:t xml:space="preserve">42.64%</w:t>
      </w:r>
      <w:r>
        <w:rPr>
          <w:rFonts w:ascii="宋体" w:eastAsia="宋体" w:hAnsi="宋体" w:cs="宋体" w:hint="eastAsia"/>
          <w:color w:val="000000"/>
          <w:sz w:val="28"/>
          <w:szCs w:val="28"/>
          <w:lang w:val="zh-TW" w:eastAsia="zh-TW" w:bidi="zh-TW"/>
        </w:rPr>
        <w:t xml:space="preserve">,比上年</w:t>
      </w:r>
      <w:r>
        <w:rPr>
          <w:rFonts w:ascii="宋体" w:eastAsia="宋体" w:hAnsi="宋体" w:cs="宋体"/>
          <w:color w:val="000000"/>
          <w:sz w:val="28"/>
          <w:u w:color="auto"/>
        </w:rPr>
        <w:t xml:space="preserve">增长460.20</w:t>
      </w:r>
      <w:r>
        <w:rPr>
          <w:rFonts w:ascii="宋体" w:eastAsia="宋体" w:hAnsi="宋体" w:cs="宋体"/>
          <w:color w:val="000000"/>
          <w:sz w:val="28"/>
          <w:u w:color="auto"/>
        </w:rPr>
        <w:t xml:space="preserve">万元，</w:t>
      </w:r>
      <w:r>
        <w:rPr>
          <w:rFonts w:ascii="宋体" w:eastAsia="宋体" w:hAnsi="宋体" w:cs="宋体"/>
          <w:color w:val="000000"/>
          <w:sz w:val="28"/>
          <w:u w:color="auto"/>
        </w:rPr>
        <w:t xml:space="preserve">增长100%</w:t>
      </w:r>
      <w:r>
        <w:rPr>
          <w:rFonts w:ascii="宋体" w:eastAsia="宋体" w:hAnsi="宋体" w:cs="宋体"/>
          <w:color w:val="000000"/>
          <w:sz w:val="28"/>
          <w:u w:color="auto"/>
        </w:rPr>
        <w:t xml:space="preserve">,主要原因是：</w:t>
      </w:r>
      <w:r>
        <w:rPr>
          <w:rFonts w:ascii="宋体" w:eastAsia="宋体" w:hAnsi="宋体" w:cs="宋体" w:hint="eastAsia"/>
          <w:color w:val="000000"/>
          <w:sz w:val="28"/>
          <w:szCs w:val="28"/>
          <w:lang w:val="zh-TW" w:eastAsia="zh-TW" w:bidi="zh-TW"/>
        </w:rPr>
        <w:t xml:space="preserve">本部门为2023年6月设立单位，没有上年同期数</w:t>
      </w:r>
      <w:r>
        <w:rPr>
          <w:rFonts w:ascii="宋体" w:eastAsia="宋体" w:hAnsi="宋体" w:cs="宋体" w:hint="eastAsia"/>
          <w:color w:val="000000"/>
          <w:sz w:val="28"/>
          <w:szCs w:val="28"/>
          <w:lang w:val="en-US" w:eastAsia="zh-CN" w:bidi="zh-TW"/>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四、财政拨款收支总体情况说明</w:t>
      </w:r>
    </w:p>
    <w:p>
      <w:pPr>
        <w:pStyle w:val="Bodytext|1"/>
        <w:spacing w:line="240" w:lineRule="auto"/>
        <w:ind w:firstLine="0"/>
        <w:jc w:val="left"/>
        <w:rPr>
          <w:lang w:val="en-US" w:eastAsia="zh-CN"/>
        </w:rPr>
      </w:pPr>
      <w:r>
        <w:rPr>
          <w:rFonts w:hint="eastAsia"/>
          <w:lang w:val="en-US" w:eastAsia="zh-CN"/>
        </w:rPr>
        <w:drawing>
          <wp:inline distT="0" distB="0" distL="114300" distR="114300">
            <wp:extent cx="5080000" cy="3810000"/>
            <wp:effectExtent l="4445" t="4445" r="5715" b="10795"/>
            <wp:docPr id="182" name="图表 13" title="{{img_sz_c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0"/>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u w:color="auto"/>
        </w:rPr>
        <w:t xml:space="preserve">年</w:t>
      </w:r>
      <w:r>
        <w:rPr>
          <w:rFonts w:ascii="宋体" w:eastAsia="宋体" w:hAnsi="宋体" w:cs="宋体" w:hint="eastAsia"/>
          <w:sz w:val="28"/>
          <w:szCs w:val="28"/>
        </w:rPr>
        <w:t xml:space="preserve">财政拨款收入我部门财政拨款总收入</w:t>
      </w:r>
      <w:r>
        <w:rPr>
          <w:rFonts w:ascii="宋体" w:eastAsia="宋体" w:hAnsi="宋体" w:cs="宋体" w:hint="eastAsia"/>
          <w:sz w:val="28"/>
          <w:szCs w:val="28"/>
          <w:lang w:val="en-US" w:eastAsia="zh-CN" w:bidi="en-US"/>
        </w:rPr>
        <w:t xml:space="preserve">35.59</w:t>
      </w:r>
      <w:r>
        <w:rPr>
          <w:rFonts w:ascii="宋体" w:eastAsia="宋体" w:hAnsi="宋体" w:cs="宋体" w:hint="eastAsia"/>
          <w:sz w:val="28"/>
          <w:szCs w:val="28"/>
        </w:rPr>
        <w:t xml:space="preserve">万元，总支出</w:t>
      </w:r>
      <w:r>
        <w:rPr>
          <w:rFonts w:ascii="宋体" w:eastAsia="宋体" w:hAnsi="宋体" w:cs="宋体" w:hint="eastAsia"/>
          <w:sz w:val="28"/>
          <w:szCs w:val="28"/>
          <w:lang w:val="en-US" w:eastAsia="zh-CN" w:bidi="en-US"/>
        </w:rPr>
        <w:t xml:space="preserve">35.59</w:t>
      </w:r>
      <w:r>
        <w:rPr>
          <w:rFonts w:ascii="宋体" w:eastAsia="宋体" w:hAnsi="宋体" w:cs="宋体" w:hint="eastAsia"/>
          <w:sz w:val="28"/>
          <w:szCs w:val="28"/>
        </w:rPr>
        <w:t xml:space="preserve">万元。财政拨款总收入较2023年度预算数</w:t>
      </w:r>
      <w:r>
        <w:rPr>
          <w:rFonts w:ascii="宋体" w:eastAsia="宋体" w:hAnsi="宋体" w:cs="宋体" w:hint="eastAsia"/>
          <w:sz w:val="28"/>
          <w:szCs w:val="28"/>
          <w:lang w:val="en-US" w:eastAsia="zh-CN" w:bidi="en-US"/>
        </w:rPr>
        <w:t xml:space="preserve">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增加35.59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增长100%</w:t>
      </w:r>
      <w:r>
        <w:rPr>
          <w:rFonts w:ascii="宋体" w:eastAsia="宋体" w:hAnsi="宋体" w:cs="宋体" w:hint="eastAsia"/>
          <w:sz w:val="28"/>
          <w:szCs w:val="28"/>
        </w:rPr>
        <w:t xml:space="preserve">，主要原因是</w:t>
      </w:r>
      <w:r>
        <w:rPr>
          <w:rFonts w:hint="eastAsia"/>
          <w:highlight w:val="none"/>
          <w:lang w:val="en-US" w:eastAsia="zh-CN"/>
        </w:rPr>
        <w:t xml:space="preserve">本部门为2023年6月设立单位，没有上年同期数</w:t>
      </w:r>
      <w:r>
        <w:rPr>
          <w:rFonts w:ascii="宋体" w:eastAsia="宋体" w:hAnsi="宋体" w:cs="宋体" w:hint="eastAsia"/>
          <w:sz w:val="28"/>
          <w:szCs w:val="28"/>
        </w:rPr>
        <w:t xml:space="preserve">。财政拨款总支出较2023年度预算数</w:t>
      </w:r>
      <w:r>
        <w:rPr>
          <w:rFonts w:ascii="宋体" w:eastAsia="宋体" w:hAnsi="宋体" w:cs="宋体" w:hint="eastAsia"/>
          <w:sz w:val="28"/>
          <w:szCs w:val="28"/>
          <w:lang w:val="en-US" w:eastAsia="zh-CN" w:bidi="en-US"/>
        </w:rPr>
        <w:t xml:space="preserve">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增加35.59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bidi="en-US"/>
        </w:rPr>
        <w:t xml:space="preserve">增长100%</w:t>
      </w:r>
      <w:r>
        <w:rPr>
          <w:rFonts w:ascii="宋体" w:eastAsia="宋体" w:hAnsi="宋体" w:cs="宋体" w:hint="eastAsia"/>
          <w:sz w:val="28"/>
          <w:szCs w:val="28"/>
        </w:rPr>
        <w:t xml:space="preserve">，主要原因是</w:t>
      </w:r>
      <w:r>
        <w:rPr>
          <w:rFonts w:hint="eastAsia"/>
          <w:highlight w:val="none"/>
          <w:lang w:val="en-US" w:eastAsia="zh-CN"/>
        </w:rPr>
        <w:t xml:space="preserve">本部门为2023年6月设立单位，没有上年同期数</w:t>
      </w:r>
      <w:r>
        <w:rPr>
          <w:rFonts w:ascii="宋体" w:eastAsia="宋体" w:hAnsi="宋体" w:cs="宋体" w:hint="eastAsia"/>
          <w:sz w:val="28"/>
          <w:szCs w:val="28"/>
        </w:rPr>
        <w:t xml:space="preserve">。</w:t>
      </w:r>
    </w:p>
    <w:p>
      <w:pPr>
        <w:pStyle w:val="Bodytext|2"/>
        <w:spacing w:after="0" w:line="619" w:lineRule="exact"/>
        <w:ind w:firstLine="620"/>
        <w:jc w:val="left"/>
        <w:rPr>
          <w:rFonts w:hint="eastAsia"/>
          <w:b/>
          <w:bCs/>
          <w:lang w:val="en-US" w:eastAsia="zh-CN"/>
        </w:rPr>
      </w:pPr>
      <w:r>
        <w:rPr>
          <w:rFonts w:hint="eastAsia"/>
          <w:b/>
          <w:bCs/>
          <w:lang w:val="en-US" w:eastAsia="zh-CN"/>
        </w:rPr>
        <w:t xml:space="preserve">五、一般公共预算支出情况说明</w:t>
      </w:r>
    </w:p>
    <w:p>
      <w:pPr>
        <w:pStyle w:val="Bodytext|1"/>
        <w:spacing w:line="240" w:lineRule="auto"/>
        <w:ind w:firstLine="0"/>
        <w:jc w:val="left"/>
        <w:rPr>
          <w:lang w:eastAsia="zh-CN"/>
        </w:rPr>
      </w:pPr>
      <w:r>
        <w:rPr>
          <w:lang w:eastAsia="zh-CN"/>
        </w:rPr>
        <w:drawing>
          <wp:inline distT="0" distB="0" distL="114300" distR="114300">
            <wp:extent cx="5080000" cy="3810000"/>
            <wp:effectExtent l="4445" t="4445" r="20955" b="14605"/>
            <wp:docPr id="183" name="图表 10" title="{{img_zc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1"/>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lang w:eastAsia="zh-CN"/>
        </w:rPr>
        <w:t xml:space="preserve">2024</w:t>
      </w:r>
      <w:r>
        <w:rPr>
          <w:rFonts w:ascii="宋体" w:eastAsia="宋体" w:hAnsi="宋体" w:cs="宋体" w:hint="eastAsia"/>
          <w:sz w:val="28"/>
          <w:szCs w:val="28"/>
          <w:lang w:val="en-US" w:eastAsia="zh-CN"/>
        </w:rPr>
        <w:t xml:space="preserve">年</w:t>
      </w:r>
      <w:r>
        <w:rPr>
          <w:rFonts w:ascii="宋体" w:eastAsia="宋体" w:hAnsi="宋体" w:cs="宋体" w:hint="eastAsia"/>
          <w:sz w:val="28"/>
          <w:szCs w:val="28"/>
        </w:rPr>
        <w:t xml:space="preserve">一般公共预算支出共</w:t>
      </w:r>
      <w:r>
        <w:rPr>
          <w:rFonts w:ascii="宋体" w:eastAsia="宋体" w:hAnsi="宋体" w:cs="宋体" w:hint="eastAsia"/>
          <w:sz w:val="28"/>
          <w:szCs w:val="28"/>
          <w:lang w:val="en-US" w:eastAsia="zh-CN"/>
        </w:rPr>
        <w:t xml:space="preserve">35.59</w:t>
      </w:r>
      <w:r>
        <w:rPr>
          <w:rFonts w:ascii="宋体" w:eastAsia="宋体" w:hAnsi="宋体" w:cs="宋体" w:hint="eastAsia"/>
          <w:sz w:val="28"/>
          <w:szCs w:val="28"/>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增加35.59</w:t>
      </w:r>
      <w:r>
        <w:rPr>
          <w:rFonts w:ascii="宋体" w:eastAsia="宋体" w:hAnsi="宋体" w:cs="宋体" w:hint="eastAsia"/>
          <w:sz w:val="28"/>
          <w:szCs w:val="28"/>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rPr>
        <w:t xml:space="preserve">，主要原因是</w:t>
      </w:r>
      <w:r>
        <w:rPr>
          <w:rFonts w:hint="eastAsia"/>
          <w:highlight w:val="none"/>
          <w:lang w:val="en-US" w:eastAsia="zh-CN"/>
        </w:rPr>
        <w:t xml:space="preserve">本部门为2023年6月设立单位，没有上年同期数</w:t>
      </w:r>
      <w:r>
        <w:rPr>
          <w:rFonts w:ascii="宋体" w:eastAsia="宋体" w:hAnsi="宋体" w:cs="宋体" w:hint="eastAsia"/>
          <w:sz w:val="28"/>
          <w:szCs w:val="28"/>
        </w:rPr>
        <w:t xml:space="preserve">。中央提前下达2024年一般公共预算转移支付资金安排的支出</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rPr>
        <w:t xml:space="preserve">万元。具体情况为：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一般公共服务支出</w:t>
      </w:r>
      <w:r>
        <w:rPr>
          <w:rFonts w:ascii="宋体" w:eastAsia="宋体" w:hAnsi="宋体" w:cs="宋体" w:hint="eastAsia"/>
          <w:sz w:val="28"/>
          <w:szCs w:val="28"/>
        </w:rPr>
        <w:t xml:space="preserve">（类）支出</w:t>
      </w:r>
      <w:r>
        <w:rPr>
          <w:rFonts w:ascii="宋体" w:eastAsia="宋体" w:hAnsi="宋体" w:cs="宋体"/>
          <w:sz w:val="28"/>
          <w:u w:color="auto"/>
        </w:rPr>
        <w:t xml:space="preserve">0.42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1.18%</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增长0.42</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本部门为2023年6月设立单位，没有上年同期数</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住房保障支出</w:t>
      </w:r>
      <w:r>
        <w:rPr>
          <w:rFonts w:ascii="宋体" w:eastAsia="宋体" w:hAnsi="宋体" w:cs="宋体" w:hint="eastAsia"/>
          <w:sz w:val="28"/>
          <w:szCs w:val="28"/>
        </w:rPr>
        <w:t xml:space="preserve">（类）支出</w:t>
      </w:r>
      <w:r>
        <w:rPr>
          <w:rFonts w:ascii="宋体" w:eastAsia="宋体" w:hAnsi="宋体" w:cs="宋体"/>
          <w:sz w:val="28"/>
          <w:u w:color="auto"/>
        </w:rPr>
        <w:t xml:space="preserve">4.68</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13.15%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增长4.68</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本部门为2023年6月设立单位，没有上年同期数</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卫生健康支出</w:t>
      </w:r>
      <w:r>
        <w:rPr>
          <w:rFonts w:ascii="宋体" w:eastAsia="宋体" w:hAnsi="宋体" w:cs="宋体" w:hint="eastAsia"/>
          <w:sz w:val="28"/>
          <w:szCs w:val="28"/>
        </w:rPr>
        <w:t xml:space="preserve">（类）支出</w:t>
      </w:r>
      <w:r>
        <w:rPr>
          <w:rFonts w:ascii="宋体" w:eastAsia="宋体" w:hAnsi="宋体" w:cs="宋体"/>
          <w:sz w:val="28"/>
          <w:u w:color="auto"/>
        </w:rPr>
        <w:t xml:space="preserve">25.16</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70.69%</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增长25.16</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本部门为2023年6月设立单位，没有上年同期数</w:t>
      </w:r>
      <w:r>
        <w:rPr>
          <w:rFonts w:ascii="宋体" w:eastAsia="宋体" w:hAnsi="宋体" w:cs="宋体" w:hint="eastAsia"/>
          <w:sz w:val="28"/>
          <w:szCs w:val="28"/>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ascii="宋体" w:eastAsia="宋体" w:hAnsi="宋体" w:cs="宋体" w:hint="eastAsia"/>
          <w:sz w:val="28"/>
          <w:szCs w:val="28"/>
        </w:rPr>
      </w:pPr>
      <w:r>
        <w:rPr>
          <w:rFonts w:ascii="宋体" w:eastAsia="宋体" w:hAnsi="宋体" w:cs="宋体" w:hint="eastAsia"/>
          <w:sz w:val="28"/>
          <w:szCs w:val="28"/>
        </w:rPr>
        <w:t xml:space="preserve">社会保障和就业支出</w:t>
      </w:r>
      <w:r>
        <w:rPr>
          <w:rFonts w:ascii="宋体" w:eastAsia="宋体" w:hAnsi="宋体" w:cs="宋体" w:hint="eastAsia"/>
          <w:sz w:val="28"/>
          <w:szCs w:val="28"/>
        </w:rPr>
        <w:t xml:space="preserve">（类）支出</w:t>
      </w:r>
      <w:r>
        <w:rPr>
          <w:rFonts w:ascii="宋体" w:eastAsia="宋体" w:hAnsi="宋体" w:cs="宋体"/>
          <w:sz w:val="28"/>
          <w:u w:color="auto"/>
        </w:rPr>
        <w:t xml:space="preserve">5.32</w:t>
      </w:r>
      <w:r>
        <w:rPr>
          <w:rFonts w:ascii="宋体" w:eastAsia="宋体" w:hAnsi="宋体" w:cs="宋体" w:hint="eastAsia"/>
          <w:sz w:val="28"/>
          <w:szCs w:val="28"/>
        </w:rPr>
        <w:t xml:space="preserve">万元，占支出总预算的</w:t>
      </w:r>
      <w:r>
        <w:rPr>
          <w:rFonts w:ascii="宋体" w:eastAsia="宋体" w:hAnsi="宋体" w:cs="宋体"/>
          <w:sz w:val="28"/>
          <w:u w:color="auto"/>
        </w:rPr>
        <w:t xml:space="preserve">14.95%</w:t>
      </w:r>
      <w:r>
        <w:rPr>
          <w:rFonts w:ascii="宋体" w:eastAsia="宋体" w:hAnsi="宋体" w:cs="宋体" w:hint="eastAsia"/>
          <w:sz w:val="28"/>
          <w:szCs w:val="28"/>
          <w:lang w:eastAsia="zh-CN"/>
        </w:rPr>
        <w:t xml:space="preserve">，</w:t>
      </w:r>
      <w:r>
        <w:rPr>
          <w:rFonts w:ascii="宋体" w:eastAsia="宋体" w:hAnsi="宋体" w:cs="宋体" w:hint="eastAsia"/>
          <w:sz w:val="28"/>
          <w:szCs w:val="28"/>
        </w:rPr>
        <w:t xml:space="preserve">较2023年度预算数</w:t>
      </w:r>
      <w:r>
        <w:rPr>
          <w:rFonts w:ascii="宋体" w:eastAsia="宋体" w:hAnsi="宋体" w:cs="宋体"/>
          <w:sz w:val="28"/>
          <w:u w:color="auto"/>
        </w:rPr>
        <w:t xml:space="preserve">0.00</w:t>
      </w:r>
      <w:r>
        <w:rPr>
          <w:rFonts w:ascii="宋体" w:eastAsia="宋体" w:hAnsi="宋体" w:cs="宋体" w:hint="eastAsia"/>
          <w:sz w:val="28"/>
          <w:szCs w:val="28"/>
        </w:rPr>
        <w:t xml:space="preserve">万元，</w:t>
      </w:r>
      <w:r>
        <w:rPr>
          <w:rFonts w:ascii="宋体" w:eastAsia="宋体" w:hAnsi="宋体" w:cs="宋体"/>
          <w:sz w:val="28"/>
          <w:u w:color="auto"/>
        </w:rPr>
        <w:t xml:space="preserve">增长5.32</w:t>
      </w:r>
      <w:r>
        <w:rPr>
          <w:rFonts w:ascii="宋体" w:eastAsia="宋体" w:hAnsi="宋体" w:cs="宋体" w:hint="eastAsia"/>
          <w:sz w:val="28"/>
          <w:szCs w:val="28"/>
        </w:rPr>
        <w:t xml:space="preserve">万元，</w:t>
      </w:r>
      <w:r>
        <w:rPr>
          <w:rFonts w:ascii="宋体" w:eastAsia="宋体" w:hAnsi="宋体" w:cs="宋体"/>
          <w:sz w:val="28"/>
          <w:u w:color="auto"/>
        </w:rPr>
        <w:t xml:space="preserve">增长100%</w:t>
      </w:r>
      <w:r>
        <w:rPr>
          <w:rFonts w:ascii="宋体" w:eastAsia="宋体" w:hAnsi="宋体" w:cs="宋体" w:hint="eastAsia"/>
          <w:sz w:val="28"/>
          <w:szCs w:val="28"/>
        </w:rPr>
        <w:t xml:space="preserve">，主要原因是：</w:t>
      </w:r>
      <w:r>
        <w:rPr>
          <w:rFonts w:hint="eastAsia"/>
          <w:highlight w:val="none"/>
        </w:rPr>
        <w:t xml:space="preserve">本部门为2023年6月设立单位，没有上年同期数</w:t>
      </w:r>
      <w:r>
        <w:rPr>
          <w:rFonts w:ascii="宋体" w:eastAsia="宋体" w:hAnsi="宋体" w:cs="宋体"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六、一般公共预算基本支出情况说明</w:t>
      </w:r>
    </w:p>
    <w:p>
      <w:pPr>
        <w:pStyle w:val="Bodytext|2"/>
        <w:spacing w:after="0"/>
        <w:ind w:firstLine="0"/>
        <w:jc w:val="left"/>
        <w:rPr>
          <w:highlight w:val="yellow"/>
          <w:lang w:val="en-US" w:eastAsia="zh-CN"/>
        </w:rPr>
      </w:pPr>
      <w:r>
        <w:rPr>
          <w:highlight w:val="none"/>
          <w:lang w:val="en-US" w:eastAsia="zh-CN"/>
        </w:rPr>
        <w:drawing>
          <wp:inline distT="0" distB="0" distL="114300" distR="114300">
            <wp:extent cx="5080000" cy="3810000"/>
            <wp:effectExtent l="4445" t="4445" r="20955" b="14605"/>
            <wp:docPr id="184" name="图表 3" title="{{rep6_yb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2"/>
              </a:graphicData>
            </a:graphic>
          </wp:inline>
        </w:drawing>
      </w:r>
    </w:p>
    <w:p>
      <w:pPr>
        <w:pStyle w:val="Bodytext|1"/>
        <w:keepNext w:val="0"/>
        <w:keepLines w:val="0"/>
        <w:pageBreakBefore w:val="0"/>
        <w:widowControl w:val="0"/>
        <w:kinsoku/>
        <w:wordWrap/>
        <w:overflowPunct/>
        <w:topLinePunct w:val="0"/>
        <w:autoSpaceDE/>
        <w:autoSpaceDN/>
        <w:bidi w:val="0"/>
        <w:adjustRightInd/>
        <w:snapToGrid/>
        <w:spacing w:line="600" w:lineRule="exact"/>
        <w:ind w:left="0" w:firstLine="560" w:leftChars="0" w:firstLineChars="200"/>
        <w:jc w:val="left"/>
        <w:textAlignment w:val="auto"/>
        <w:rPr>
          <w:rFonts w:hint="eastAsia"/>
          <w:lang w:val="en-US" w:eastAsia="zh-CN"/>
        </w:rPr>
      </w:pPr>
      <w:r>
        <w:rPr>
          <w:rFonts w:hint="eastAsia"/>
          <w:lang w:val="en-US" w:eastAsia="zh-CN"/>
        </w:rPr>
        <w:t xml:space="preserve">2024</w:t>
      </w:r>
      <w:r>
        <w:rPr>
          <w:u w:color="auto"/>
        </w:rPr>
        <w:t xml:space="preserve">年</w:t>
      </w:r>
      <w:r>
        <w:rPr>
          <w:rFonts w:hint="eastAsia"/>
        </w:rPr>
        <w:t xml:space="preserve">一般公共预算基本支出共</w:t>
      </w:r>
      <w:r>
        <w:rPr>
          <w:rFonts w:hint="eastAsia"/>
          <w:lang w:val="en-US" w:eastAsia="zh-CN"/>
        </w:rPr>
        <w:t xml:space="preserve">35.59</w:t>
      </w:r>
      <w:r>
        <w:rPr>
          <w:rFonts w:hint="eastAsia"/>
        </w:rPr>
        <w:t xml:space="preserve">万元，较2023年度预算数</w:t>
      </w:r>
      <w:r>
        <w:rPr>
          <w:rFonts w:hint="eastAsia"/>
          <w:lang w:val="en-US" w:eastAsia="zh-CN"/>
        </w:rPr>
        <w:t xml:space="preserve">0.00</w:t>
      </w:r>
      <w:r>
        <w:rPr>
          <w:rFonts w:hint="eastAsia"/>
        </w:rPr>
        <w:t xml:space="preserve">万元</w:t>
      </w:r>
      <w:r>
        <w:rPr>
          <w:rFonts w:hint="eastAsia"/>
          <w:lang w:val="en-US" w:eastAsia="zh-CN"/>
        </w:rPr>
        <w:t xml:space="preserve">,</w:t>
      </w:r>
      <w:r>
        <w:rPr>
          <w:u w:color="auto"/>
        </w:rPr>
        <w:t xml:space="preserve">增加35.59</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lang w:val="en-US" w:eastAsia="zh-CN"/>
        </w:rPr>
        <w:t xml:space="preserve">本部门为2023年6月设立单位，没有上年同期数</w:t>
      </w:r>
      <w:r>
        <w:rPr>
          <w:rFonts w:hint="eastAsia"/>
        </w:rPr>
        <w:t xml:space="preserve">具体情况为：</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工资福利支出</w:t>
      </w:r>
      <w:r>
        <w:rPr>
          <w:rFonts w:hint="eastAsia"/>
        </w:rPr>
        <w:t xml:space="preserve">支出预算</w:t>
      </w:r>
      <w:r>
        <w:rPr>
          <w:rFonts w:hint="eastAsia"/>
          <w:lang w:val="en-US" w:eastAsia="zh-CN"/>
        </w:rPr>
        <w:t xml:space="preserve">35.16</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98.79%</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增长35.16</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本部门为2023年6月设立单位，没有上年同期数</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0"/>
        <w:jc w:val="left"/>
        <w:textAlignment w:val="auto"/>
        <w:rPr>
          <w:rFonts w:hint="default"/>
          <w:lang w:val="en-US" w:eastAsia="zh-CN"/>
        </w:rPr>
      </w:pPr>
      <w:r>
        <w:rPr>
          <w:rFonts w:hint="eastAsia"/>
          <w:lang w:val="en-US" w:eastAsia="zh-CN"/>
        </w:rPr>
        <w:t xml:space="preserve">商品和服务支出</w:t>
      </w:r>
      <w:r>
        <w:rPr>
          <w:rFonts w:hint="eastAsia"/>
        </w:rPr>
        <w:t xml:space="preserve">支出预算</w:t>
      </w:r>
      <w:r>
        <w:rPr>
          <w:rFonts w:hint="eastAsia"/>
          <w:lang w:val="en-US" w:eastAsia="zh-CN"/>
        </w:rPr>
        <w:t xml:space="preserve">0.42</w:t>
      </w:r>
      <w:r>
        <w:t xml:space="preserve">万元</w:t>
      </w:r>
      <w:r>
        <w:rPr>
          <w:rFonts w:hint="eastAsia"/>
          <w:lang w:eastAsia="zh-CN"/>
        </w:rPr>
        <w:t xml:space="preserve">，</w:t>
      </w:r>
      <w:r>
        <w:rPr>
          <w:rFonts w:hint="eastAsia"/>
        </w:rPr>
        <w:t xml:space="preserve">占基本支出预算的</w:t>
      </w:r>
      <w:r>
        <w:rPr>
          <w:rFonts w:hint="eastAsia"/>
          <w:lang w:val="en-US" w:eastAsia="zh-CN"/>
        </w:rPr>
        <w:t xml:space="preserve">1.18%</w:t>
      </w:r>
      <w:r>
        <w:rPr>
          <w:rFonts w:hint="eastAsia"/>
        </w:rPr>
        <w:t xml:space="preserve">，较2023年度预算数</w:t>
      </w:r>
      <w:r>
        <w:rPr>
          <w:rFonts w:hint="eastAsia"/>
          <w:lang w:val="en-US" w:eastAsia="zh-CN"/>
        </w:rPr>
        <w:t xml:space="preserve">0.00</w:t>
      </w:r>
      <w:r>
        <w:rPr>
          <w:rFonts w:hint="eastAsia"/>
        </w:rPr>
        <w:t xml:space="preserve">万元，</w:t>
      </w:r>
      <w:r>
        <w:rPr>
          <w:rFonts w:hint="eastAsia"/>
          <w:lang w:val="en-US" w:eastAsia="zh-CN"/>
        </w:rPr>
        <w:t xml:space="preserve">增长0.42</w:t>
      </w:r>
      <w:r>
        <w:rPr>
          <w:rFonts w:hint="eastAsia"/>
        </w:rPr>
        <w:t xml:space="preserve">万元，</w:t>
      </w:r>
      <w:r>
        <w:rPr>
          <w:rFonts w:hint="eastAsia"/>
          <w:lang w:val="en-US" w:eastAsia="zh-CN"/>
        </w:rPr>
        <w:t xml:space="preserve">增长100%</w:t>
      </w:r>
      <w:r>
        <w:rPr>
          <w:rFonts w:hint="eastAsia"/>
        </w:rPr>
        <w:t xml:space="preserve">，主要原因是：</w:t>
      </w:r>
      <w:r>
        <w:rPr>
          <w:rFonts w:hint="eastAsia"/>
          <w:highlight w:val="none"/>
        </w:rPr>
        <w:t xml:space="preserve">本部门为2023年6月设立单位，没有上年同期数</w:t>
      </w:r>
    </w:p>
    <w:p>
      <w:pPr>
        <w:pStyle w:val="Bodytext|2"/>
        <w:spacing w:after="0" w:line="619" w:lineRule="exact"/>
        <w:ind w:firstLine="620"/>
        <w:jc w:val="left"/>
        <w:rPr>
          <w:rFonts w:hint="eastAsia"/>
          <w:b/>
          <w:bCs/>
        </w:rPr>
      </w:pPr>
      <w:r>
        <w:rPr>
          <w:rFonts w:hint="eastAsia"/>
          <w:b/>
          <w:bCs/>
          <w:lang w:val="en-US" w:eastAsia="zh-CN"/>
        </w:rPr>
        <w:t xml:space="preserve">七、一般公共预算</w:t>
      </w:r>
      <w:r>
        <w:rPr>
          <w:rFonts w:hint="eastAsia"/>
          <w:b/>
          <w:bCs/>
          <w:lang w:val="zh-CN" w:eastAsia="zh-CN"/>
        </w:rPr>
        <w:t xml:space="preserve">“三</w:t>
      </w:r>
      <w:r>
        <w:rPr>
          <w:rFonts w:hint="eastAsia"/>
          <w:b/>
          <w:bCs/>
          <w:lang w:val="en-US" w:eastAsia="zh-CN"/>
        </w:rPr>
        <w:t xml:space="preserve">公”经费支出情况说明</w:t>
      </w:r>
    </w:p>
    <w:p>
      <w:pPr>
        <w:pStyle w:val="Bodytext|2"/>
        <w:spacing w:after="0"/>
        <w:ind w:firstLine="0"/>
        <w:jc w:val="left"/>
        <w:rPr>
          <w:highlight w:val="yellow"/>
          <w:lang w:val="en-US" w:eastAsia="zh-CN"/>
        </w:rPr>
      </w:pPr>
      <w:r>
        <w:rPr>
          <w:rFonts w:hint="eastAsia"/>
          <w:highlight w:val="none"/>
          <w:lang w:val="en-US" w:eastAsia="zh-CN"/>
        </w:rPr>
        <w:drawing>
          <wp:inline distT="0" distB="0" distL="114300" distR="114300">
            <wp:extent cx="5080000" cy="3810000"/>
            <wp:effectExtent l="4445" t="4445" r="5715" b="10795"/>
            <wp:docPr id="185" name="图表 23" title="{{img_sgzc_ys_data}}"/>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r:id="rId13"/>
              </a:graphicData>
            </a:graphic>
          </wp:inline>
        </w:drawing>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lang w:eastAsia="zh-CN"/>
        </w:rPr>
      </w:pPr>
      <w:bookmarkStart w:id="14" w:name="bookmark90"/>
      <w:r>
        <w:rPr>
          <w:rFonts w:hint="eastAsia"/>
          <w:b w:val="0"/>
          <w:bCs w:val="0"/>
          <w:sz w:val="28"/>
          <w:szCs w:val="28"/>
          <w:lang w:eastAsia="zh-CN"/>
        </w:rPr>
        <w:t xml:space="preserve">（</w:t>
      </w:r>
      <w:r>
        <w:rPr>
          <w:rFonts w:hint="eastAsia"/>
          <w:b w:val="0"/>
          <w:bCs w:val="0"/>
          <w:sz w:val="28"/>
          <w:szCs w:val="28"/>
          <w:lang w:val="en-US" w:eastAsia="zh-CN"/>
        </w:rPr>
        <w:t xml:space="preserve">一</w:t>
      </w:r>
      <w:r>
        <w:rPr>
          <w:rFonts w:hint="eastAsia"/>
          <w:b w:val="0"/>
          <w:bCs w:val="0"/>
          <w:sz w:val="28"/>
          <w:szCs w:val="28"/>
          <w:lang w:eastAsia="zh-CN"/>
        </w:rPr>
        <w:t xml:space="preserve">）</w:t>
      </w:r>
      <w:r>
        <w:rPr>
          <w:sz w:val="28"/>
          <w:u w:color="auto"/>
        </w:rPr>
        <w:t xml:space="preserve">2024</w:t>
      </w:r>
      <w:r>
        <w:rPr>
          <w:sz w:val="28"/>
          <w:u w:color="auto"/>
        </w:rPr>
        <w:t xml:space="preserve">年部门预算共安排</w:t>
      </w:r>
      <w:r>
        <w:rPr>
          <w:rFonts w:hint="eastAsia"/>
          <w:b w:val="0"/>
          <w:bCs w:val="0"/>
          <w:sz w:val="28"/>
          <w:szCs w:val="28"/>
          <w:lang w:val="zh-CN" w:eastAsia="zh-CN"/>
        </w:rPr>
        <w:t xml:space="preserve">“三公</w:t>
      </w:r>
      <w:r>
        <w:rPr>
          <w:rFonts w:hint="eastAsia"/>
          <w:b w:val="0"/>
          <w:bCs w:val="0"/>
          <w:sz w:val="28"/>
          <w:szCs w:val="28"/>
          <w:lang w:val="en-US" w:eastAsia="zh-CN"/>
        </w:rPr>
        <w:t xml:space="preserve">"</w:t>
      </w:r>
      <w:r>
        <w:rPr>
          <w:rFonts w:hint="eastAsia"/>
          <w:b w:val="0"/>
          <w:bCs w:val="0"/>
          <w:sz w:val="28"/>
          <w:szCs w:val="28"/>
          <w:lang w:eastAsia="zh-CN"/>
        </w:rPr>
        <w:t xml:space="preserve">经费支出预算</w:t>
      </w:r>
      <w:r>
        <w:rPr>
          <w:rFonts w:hint="eastAsia"/>
          <w:b w:val="0"/>
          <w:bCs w:val="0"/>
          <w:sz w:val="28"/>
          <w:szCs w:val="28"/>
          <w:lang w:val="en-US" w:eastAsia="zh-CN"/>
        </w:rPr>
        <w:t xml:space="preserve">0.20</w:t>
      </w:r>
      <w:r>
        <w:rPr>
          <w:rFonts w:hint="eastAsia"/>
          <w:b w:val="0"/>
          <w:bCs w:val="0"/>
          <w:sz w:val="28"/>
          <w:szCs w:val="28"/>
          <w:lang w:eastAsia="zh-CN"/>
        </w:rPr>
        <w:t xml:space="preserve">万元（全口径），其中：因公出国（境）经费支出预算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万元，公务接待费支出预算</w:t>
      </w:r>
      <w:r>
        <w:rPr>
          <w:rFonts w:hint="eastAsia"/>
          <w:b w:val="0"/>
          <w:bCs w:val="0"/>
          <w:sz w:val="28"/>
          <w:szCs w:val="28"/>
          <w:lang w:val="en-US" w:eastAsia="zh-CN"/>
        </w:rPr>
        <w:t xml:space="preserve">0.20</w:t>
      </w:r>
      <w:r>
        <w:rPr>
          <w:rFonts w:hint="eastAsia"/>
          <w:b w:val="0"/>
          <w:bCs w:val="0"/>
          <w:sz w:val="28"/>
          <w:szCs w:val="28"/>
          <w:lang w:eastAsia="zh-CN"/>
        </w:rPr>
        <w:t xml:space="preserve">万元，公务用车购置及运行费支出预算</w:t>
      </w:r>
      <w:r>
        <w:rPr>
          <w:rFonts w:hint="eastAsia"/>
          <w:b w:val="0"/>
          <w:bCs w:val="0"/>
          <w:sz w:val="28"/>
          <w:szCs w:val="28"/>
          <w:lang w:val="en-US" w:eastAsia="zh-CN"/>
        </w:rPr>
        <w:t xml:space="preserve">0.00</w:t>
      </w:r>
      <w:r>
        <w:rPr>
          <w:rFonts w:hint="eastAsia"/>
          <w:b w:val="0"/>
          <w:bCs w:val="0"/>
          <w:sz w:val="28"/>
          <w:szCs w:val="28"/>
          <w:lang w:eastAsia="zh-CN"/>
        </w:rPr>
        <w:t xml:space="preserve">万元（公务用车购置费</w:t>
      </w:r>
      <w:r>
        <w:rPr>
          <w:rFonts w:hint="eastAsia"/>
          <w:b w:val="0"/>
          <w:bCs w:val="0"/>
          <w:sz w:val="28"/>
          <w:szCs w:val="28"/>
          <w:lang w:val="en-US" w:eastAsia="zh-CN"/>
        </w:rPr>
        <w:t xml:space="preserve">0.00</w:t>
      </w:r>
      <w:r>
        <w:rPr>
          <w:rFonts w:hint="eastAsia"/>
          <w:b w:val="0"/>
          <w:bCs w:val="0"/>
          <w:sz w:val="28"/>
          <w:szCs w:val="28"/>
          <w:lang w:eastAsia="zh-CN"/>
        </w:rPr>
        <w:t xml:space="preserve">万元,公务用车运行维护费</w:t>
      </w:r>
      <w:r>
        <w:rPr>
          <w:rFonts w:hint="eastAsia"/>
          <w:b w:val="0"/>
          <w:bCs w:val="0"/>
          <w:sz w:val="28"/>
          <w:szCs w:val="28"/>
          <w:lang w:val="en-US" w:eastAsia="zh-CN"/>
        </w:rPr>
        <w:t xml:space="preserve">0.00</w:t>
      </w:r>
      <w:r>
        <w:rPr>
          <w:rFonts w:hint="eastAsia"/>
          <w:b w:val="0"/>
          <w:bCs w:val="0"/>
          <w:sz w:val="28"/>
          <w:szCs w:val="28"/>
          <w:lang w:eastAsia="zh-CN"/>
        </w:rPr>
        <w:t xml:space="preserve">万元）。</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lang w:eastAsia="zh-CN"/>
        </w:rPr>
        <w:t xml:space="preserve">（</w:t>
      </w:r>
      <w:r>
        <w:rPr>
          <w:rFonts w:hint="eastAsia"/>
          <w:b w:val="0"/>
          <w:bCs w:val="0"/>
          <w:sz w:val="28"/>
          <w:szCs w:val="28"/>
          <w:lang w:val="en-US" w:eastAsia="zh-CN"/>
        </w:rPr>
        <w:t xml:space="preserve">二</w:t>
      </w:r>
      <w:r>
        <w:rPr>
          <w:rFonts w:hint="eastAsia"/>
          <w:b w:val="0"/>
          <w:bCs w:val="0"/>
          <w:sz w:val="28"/>
          <w:szCs w:val="28"/>
          <w:lang w:eastAsia="zh-CN"/>
        </w:rPr>
        <w:t xml:space="preserve">）</w:t>
      </w:r>
      <w:r>
        <w:rPr>
          <w:sz w:val="28"/>
          <w:u w:color="auto"/>
        </w:rPr>
        <w:t xml:space="preserve">2024</w:t>
      </w:r>
      <w:r>
        <w:rPr>
          <w:rFonts w:hint="eastAsia"/>
          <w:b w:val="0"/>
          <w:bCs w:val="0"/>
          <w:sz w:val="28"/>
          <w:szCs w:val="28"/>
        </w:rPr>
        <w:t xml:space="preserve">年一般公共预算安排的“三公”经费支出预算</w:t>
      </w:r>
      <w:r>
        <w:rPr>
          <w:rFonts w:hint="eastAsia"/>
          <w:b w:val="0"/>
          <w:bCs w:val="0"/>
          <w:sz w:val="28"/>
          <w:szCs w:val="28"/>
          <w:lang w:val="en-US" w:eastAsia="zh-CN"/>
        </w:rPr>
        <w:t xml:space="preserve">0.00</w:t>
      </w:r>
      <w:r>
        <w:rPr>
          <w:rFonts w:hint="eastAsia"/>
          <w:b w:val="0"/>
          <w:bCs w:val="0"/>
          <w:sz w:val="28"/>
          <w:szCs w:val="28"/>
        </w:rPr>
        <w:t xml:space="preserve">万元，同口径较2023年度预算数</w:t>
      </w:r>
      <w:r>
        <w:rPr>
          <w:rFonts w:hint="eastAsia"/>
          <w:b w:val="0"/>
          <w:bCs w:val="0"/>
          <w:sz w:val="28"/>
          <w:szCs w:val="28"/>
          <w:lang w:val="en-US" w:eastAsia="zh-CN"/>
        </w:rPr>
        <w:t xml:space="preserve">0.00</w:t>
      </w:r>
      <w:r>
        <w:rPr>
          <w:rFonts w:hint="eastAsia"/>
          <w:b w:val="0"/>
          <w:bCs w:val="0"/>
          <w:sz w:val="28"/>
          <w:szCs w:val="28"/>
        </w:rPr>
        <w:t xml:space="preserve">万元，</w:t>
      </w:r>
      <w:r>
        <w:rPr>
          <w:rFonts w:hint="eastAsia"/>
          <w:b w:val="0"/>
          <w:bCs w:val="0"/>
          <w:sz w:val="28"/>
          <w:szCs w:val="28"/>
          <w:lang w:val="en-US" w:eastAsia="zh-CN"/>
        </w:rPr>
        <w:t xml:space="preserve">增长0.00</w:t>
      </w:r>
      <w:r>
        <w:rPr>
          <w:rFonts w:hint="eastAsia"/>
          <w:b w:val="0"/>
          <w:bCs w:val="0"/>
          <w:sz w:val="28"/>
          <w:szCs w:val="28"/>
        </w:rPr>
        <w:t xml:space="preserve">万元，</w:t>
      </w:r>
      <w:r>
        <w:rPr>
          <w:rFonts w:hint="eastAsia"/>
          <w:b w:val="0"/>
          <w:bCs w:val="0"/>
          <w:sz w:val="28"/>
          <w:szCs w:val="28"/>
          <w:lang w:val="en-US" w:eastAsia="zh-CN"/>
        </w:rPr>
        <w:t xml:space="preserve">增长0%</w:t>
      </w:r>
      <w:r>
        <w:rPr>
          <w:rFonts w:hint="eastAsia"/>
          <w:b w:val="0"/>
          <w:bCs w:val="0"/>
          <w:sz w:val="28"/>
          <w:szCs w:val="28"/>
        </w:rPr>
        <w:t xml:space="preserve">，具体如下：</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1.因公出国（境）费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本部门为2023年6月设立单位，没有上年同期数</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2.公务接待费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本部门为2023年6月设立单位，没有上年同期数</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3.公务用车购置及运行费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，其中：</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eastAsia="宋体" w:hint="eastAsia"/>
          <w:b w:val="0"/>
          <w:bCs w:val="0"/>
          <w:sz w:val="28"/>
          <w:szCs w:val="28"/>
          <w:lang w:eastAsia="zh-CN"/>
        </w:rPr>
      </w:pPr>
      <w:r>
        <w:rPr>
          <w:rFonts w:hint="eastAsia"/>
          <w:b w:val="0"/>
          <w:bCs w:val="0"/>
          <w:sz w:val="28"/>
          <w:szCs w:val="28"/>
        </w:rPr>
        <w:t xml:space="preserve">公务用车购置费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本部门为2023年6月设立单位，没有上年同期数</w:t>
      </w:r>
      <w:r>
        <w:rPr>
          <w:rFonts w:hint="eastAsia"/>
          <w:b w:val="0"/>
          <w:bCs w:val="0"/>
          <w:sz w:val="28"/>
          <w:szCs w:val="28"/>
        </w:rPr>
        <w:t xml:space="preserve">。</w:t>
      </w:r>
    </w:p>
    <w:p>
      <w:pPr>
        <w:pStyle w:val="Bodytext|2"/>
        <w:keepNext w:val="0"/>
        <w:keepLines w:val="0"/>
        <w:pageBreakBefore w:val="0"/>
        <w:widowControl w:val="0"/>
        <w:tabs>
          <w:tab w:val="left" w:pos="1253"/>
        </w:tabs>
        <w:kinsoku/>
        <w:wordWrap/>
        <w:overflowPunct/>
        <w:topLinePunct w:val="0"/>
        <w:autoSpaceDE/>
        <w:autoSpaceDN/>
        <w:bidi w:val="0"/>
        <w:adjustRightInd/>
        <w:snapToGrid/>
        <w:spacing w:after="0" w:line="600" w:lineRule="exact"/>
        <w:ind w:firstLine="601"/>
        <w:jc w:val="left"/>
        <w:textAlignment w:val="auto"/>
        <w:rPr>
          <w:rFonts w:hint="eastAsia"/>
          <w:b w:val="0"/>
          <w:bCs w:val="0"/>
          <w:sz w:val="28"/>
          <w:szCs w:val="28"/>
        </w:rPr>
      </w:pPr>
      <w:r>
        <w:rPr>
          <w:rFonts w:hint="eastAsia"/>
          <w:b w:val="0"/>
          <w:bCs w:val="0"/>
          <w:sz w:val="28"/>
          <w:szCs w:val="28"/>
        </w:rPr>
        <w:t xml:space="preserve">公务用车运行维护费</w:t>
      </w:r>
      <w:r>
        <w:rPr>
          <w:rFonts w:hint="eastAsia"/>
          <w:b w:val="0"/>
          <w:bCs w:val="0"/>
          <w:sz w:val="28"/>
          <w:szCs w:val="28"/>
          <w:lang w:eastAsia="zh-CN"/>
        </w:rPr>
        <w:t xml:space="preserve">2024</w:t>
      </w:r>
      <w:r>
        <w:rPr>
          <w:rFonts w:hint="eastAsia"/>
          <w:b w:val="0"/>
          <w:bCs w:val="0"/>
          <w:sz w:val="28"/>
          <w:szCs w:val="28"/>
        </w:rPr>
        <w:t xml:space="preserve">年预算安排</w:t>
      </w:r>
      <w:r>
        <w:rPr>
          <w:sz w:val="28"/>
          <w:u w:color="auto"/>
        </w:rPr>
        <w:t xml:space="preserve">0.00</w:t>
      </w:r>
      <w:r>
        <w:rPr>
          <w:rFonts w:hint="eastAsia"/>
          <w:b w:val="0"/>
          <w:bCs w:val="0"/>
          <w:sz w:val="28"/>
          <w:szCs w:val="28"/>
        </w:rPr>
        <w:t xml:space="preserve">万元，较2023年度预算数</w:t>
      </w:r>
      <w:r>
        <w:rPr>
          <w:sz w:val="28"/>
          <w:u w:color="auto"/>
        </w:rPr>
        <w:t xml:space="preserve">0.00</w:t>
      </w:r>
      <w:r>
        <w:rPr>
          <w:rFonts w:hint="eastAsia"/>
          <w:b w:val="0"/>
          <w:bCs w:val="0"/>
          <w:sz w:val="28"/>
          <w:szCs w:val="28"/>
        </w:rPr>
        <w:t xml:space="preserve">万元，</w:t>
      </w:r>
      <w:r>
        <w:rPr>
          <w:sz w:val="28"/>
          <w:u w:color="auto"/>
        </w:rPr>
        <w:t xml:space="preserve">增长0.00</w:t>
      </w:r>
      <w:r>
        <w:rPr>
          <w:rFonts w:hint="eastAsia"/>
          <w:b w:val="0"/>
          <w:bCs w:val="0"/>
          <w:sz w:val="28"/>
          <w:szCs w:val="28"/>
        </w:rPr>
        <w:t xml:space="preserve">万元，</w:t>
      </w:r>
      <w:r>
        <w:rPr>
          <w:sz w:val="28"/>
          <w:u w:color="auto"/>
        </w:rPr>
        <w:t xml:space="preserve">增长0%</w:t>
      </w:r>
      <w:r>
        <w:rPr>
          <w:rFonts w:hint="eastAsia"/>
          <w:b w:val="0"/>
          <w:bCs w:val="0"/>
          <w:sz w:val="28"/>
          <w:szCs w:val="28"/>
        </w:rPr>
        <w:t xml:space="preserve">，主要原因是</w:t>
      </w:r>
      <w:r>
        <w:rPr>
          <w:rFonts w:hint="eastAsia"/>
          <w:sz w:val="28"/>
          <w:szCs w:val="28"/>
          <w:highlight w:val="none"/>
          <w:lang w:val="en-US" w:eastAsia="zh-CN"/>
        </w:rPr>
        <w:t xml:space="preserve">本部门为2023年6月设立单位，没有上年同期数</w:t>
      </w:r>
      <w:r>
        <w:rPr>
          <w:rFonts w:hint="eastAsia"/>
          <w:b w:val="0"/>
          <w:bCs w:val="0"/>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r>
        <w:rPr>
          <w:rFonts w:hint="eastAsia"/>
          <w:b/>
          <w:bCs/>
          <w:lang w:val="en-US" w:eastAsia="zh-CN"/>
        </w:rPr>
        <w:t xml:space="preserve">八</w:t>
      </w:r>
      <w:bookmarkEnd w:id="14"/>
      <w:r>
        <w:rPr>
          <w:rFonts w:hint="eastAsia"/>
          <w:b/>
          <w:bCs/>
          <w:lang w:val="en-US" w:eastAsia="zh-CN"/>
        </w:rPr>
        <w:t xml:space="preserve">、政府性基金预算支出情况说明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b w:val="0"/>
          <w:bCs w:val="0"/>
          <w:sz w:val="28"/>
          <w:szCs w:val="28"/>
          <w:lang w:eastAsia="zh-CN"/>
        </w:rPr>
        <w:t xml:space="preserve">2024</w:t>
      </w:r>
      <w:r>
        <w:rPr>
          <w:rFonts w:hint="eastAsia"/>
          <w:sz w:val="28"/>
          <w:szCs w:val="28"/>
        </w:rPr>
        <w:t xml:space="preserve">年政府性基金预算支出共</w:t>
      </w:r>
      <w:r>
        <w:rPr>
          <w:rFonts w:hint="eastAsia"/>
          <w:b w:val="0"/>
          <w:bCs w:val="0"/>
          <w:sz w:val="28"/>
          <w:szCs w:val="28"/>
          <w:lang w:eastAsia="zh-CN"/>
        </w:rPr>
        <w:t xml:space="preserve">0.00</w:t>
      </w:r>
      <w:r>
        <w:rPr>
          <w:rFonts w:hint="eastAsia"/>
          <w:sz w:val="28"/>
          <w:szCs w:val="28"/>
        </w:rPr>
        <w:t xml:space="preserve">万元，较2023年度预算数</w:t>
      </w:r>
      <w:r>
        <w:rPr>
          <w:rFonts w:hint="eastAsia"/>
          <w:b w:val="0"/>
          <w:bCs w:val="0"/>
          <w:sz w:val="28"/>
          <w:szCs w:val="28"/>
          <w:lang w:eastAsia="zh-CN"/>
        </w:rPr>
        <w:t xml:space="preserve">0.00</w:t>
      </w:r>
      <w:r>
        <w:rPr>
          <w:rFonts w:hint="eastAsia"/>
          <w:sz w:val="28"/>
          <w:szCs w:val="28"/>
        </w:rPr>
        <w:t xml:space="preserve">万元，</w:t>
      </w:r>
      <w:r>
        <w:rPr>
          <w:rFonts w:hint="eastAsia"/>
          <w:b w:val="0"/>
          <w:bCs w:val="0"/>
          <w:sz w:val="28"/>
          <w:szCs w:val="28"/>
          <w:lang w:eastAsia="zh-CN"/>
        </w:rPr>
        <w:t xml:space="preserve">增加0.00</w:t>
      </w:r>
      <w:r>
        <w:rPr>
          <w:rFonts w:hint="eastAsia"/>
          <w:sz w:val="28"/>
          <w:szCs w:val="28"/>
        </w:rPr>
        <w:t xml:space="preserve">万元，</w:t>
      </w:r>
      <w:r>
        <w:rPr>
          <w:rFonts w:hint="eastAsia"/>
          <w:b w:val="0"/>
          <w:bCs w:val="0"/>
          <w:sz w:val="28"/>
          <w:szCs w:val="28"/>
          <w:lang w:eastAsia="zh-CN"/>
        </w:rPr>
        <w:t xml:space="preserve">增长0%</w:t>
      </w:r>
      <w:r>
        <w:rPr>
          <w:rFonts w:hint="eastAsia"/>
          <w:sz w:val="28"/>
          <w:szCs w:val="28"/>
        </w:rPr>
        <w:t xml:space="preserve">，主要原因是</w:t>
      </w:r>
      <w:r>
        <w:rPr>
          <w:rFonts w:hint="eastAsia"/>
          <w:sz w:val="28"/>
          <w:szCs w:val="28"/>
          <w:highlight w:val="none"/>
          <w:lang w:val="en-US" w:eastAsia="zh-CN"/>
        </w:rPr>
        <w:t xml:space="preserve">本部门为2023年6月设立单位，没有上年同期数</w:t>
      </w:r>
      <w:r>
        <w:rPr>
          <w:rFonts w:hint="eastAsia"/>
          <w:sz w:val="28"/>
          <w:szCs w:val="28"/>
        </w:rPr>
        <w:t xml:space="preserve">。</w:t>
      </w:r>
    </w:p>
    <w:p>
      <w:pPr>
        <w:pStyle w:val="Bodytext|2"/>
        <w:keepNext w:val="0"/>
        <w:keepLines w:val="0"/>
        <w:pageBreakBefore w:val="0"/>
        <w:widowControl w:val="0"/>
        <w:kinsoku/>
        <w:wordWrap/>
        <w:overflowPunct/>
        <w:topLinePunct w:val="0"/>
        <w:autoSpaceDE/>
        <w:autoSpaceDN/>
        <w:bidi w:val="0"/>
        <w:adjustRightInd/>
        <w:snapToGrid/>
        <w:spacing w:before="120" w:after="0" w:line="600" w:lineRule="exact"/>
        <w:ind w:firstLine="618"/>
        <w:jc w:val="left"/>
        <w:textAlignment w:val="auto"/>
        <w:rPr>
          <w:rFonts w:hint="eastAsia"/>
          <w:b/>
          <w:bCs/>
          <w:lang w:val="en-US" w:eastAsia="zh-CN"/>
        </w:rPr>
      </w:pPr>
      <w:bookmarkStart w:id="15" w:name="bookmark91"/>
      <w:r>
        <w:rPr>
          <w:rFonts w:hint="eastAsia"/>
          <w:b/>
          <w:bCs/>
          <w:lang w:val="en-US" w:eastAsia="zh-CN"/>
        </w:rPr>
        <w:t xml:space="preserve">九</w:t>
      </w:r>
      <w:bookmarkEnd w:id="15"/>
      <w:r>
        <w:rPr>
          <w:rFonts w:hint="eastAsia"/>
          <w:b/>
          <w:bCs/>
          <w:lang w:val="en-US" w:eastAsia="zh-CN"/>
        </w:rPr>
        <w:t xml:space="preserve">、国有资本经营预算支出情况说明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eastAsia="宋体" w:hint="eastAsia"/>
          <w:sz w:val="28"/>
          <w:szCs w:val="28"/>
          <w:lang w:eastAsia="zh-CN"/>
        </w:rPr>
      </w:pPr>
      <w:r>
        <w:rPr>
          <w:rFonts w:hint="eastAsia"/>
          <w:sz w:val="28"/>
          <w:szCs w:val="28"/>
        </w:rPr>
        <w:t xml:space="preserve">我部门</w:t>
      </w:r>
      <w:r>
        <w:rPr>
          <w:rFonts w:hint="eastAsia"/>
          <w:sz w:val="28"/>
          <w:szCs w:val="28"/>
          <w:lang w:eastAsia="zh-CN"/>
        </w:rPr>
        <w:t xml:space="preserve">2024</w:t>
      </w:r>
      <w:r>
        <w:rPr>
          <w:rFonts w:hint="eastAsia"/>
          <w:sz w:val="28"/>
          <w:szCs w:val="28"/>
        </w:rPr>
        <w:t xml:space="preserve">年国有资本经营预算支出共</w:t>
      </w:r>
      <w:r>
        <w:rPr>
          <w:rFonts w:hint="eastAsia"/>
          <w:sz w:val="28"/>
          <w:szCs w:val="28"/>
          <w:lang w:eastAsia="zh-CN"/>
        </w:rPr>
        <w:t xml:space="preserve">0.00</w:t>
      </w:r>
      <w:r>
        <w:rPr>
          <w:rFonts w:hint="eastAsia"/>
          <w:sz w:val="28"/>
          <w:szCs w:val="28"/>
        </w:rPr>
        <w:t xml:space="preserve">万元，较2023年度预算数</w:t>
      </w:r>
      <w:r>
        <w:rPr>
          <w:rFonts w:hint="eastAsia"/>
          <w:sz w:val="28"/>
          <w:szCs w:val="28"/>
          <w:lang w:eastAsia="zh-CN"/>
        </w:rPr>
        <w:t xml:space="preserve">0.00</w:t>
      </w:r>
      <w:r>
        <w:rPr>
          <w:rFonts w:hint="eastAsia"/>
          <w:sz w:val="28"/>
          <w:szCs w:val="28"/>
        </w:rPr>
        <w:t xml:space="preserve">万元，</w:t>
      </w:r>
      <w:r>
        <w:rPr>
          <w:rFonts w:hint="eastAsia"/>
          <w:sz w:val="28"/>
          <w:szCs w:val="28"/>
          <w:lang w:eastAsia="zh-CN"/>
        </w:rPr>
        <w:t xml:space="preserve">增加0.00</w:t>
      </w:r>
      <w:r>
        <w:rPr>
          <w:rFonts w:hint="eastAsia"/>
          <w:sz w:val="28"/>
          <w:szCs w:val="28"/>
        </w:rPr>
        <w:t xml:space="preserve">万元，</w:t>
      </w:r>
      <w:r>
        <w:rPr>
          <w:rFonts w:hint="eastAsia"/>
          <w:sz w:val="28"/>
          <w:szCs w:val="28"/>
          <w:lang w:eastAsia="zh-CN"/>
        </w:rPr>
        <w:t xml:space="preserve">增长0%</w:t>
      </w:r>
      <w:r>
        <w:rPr>
          <w:rFonts w:hint="eastAsia"/>
          <w:sz w:val="28"/>
          <w:szCs w:val="28"/>
        </w:rPr>
        <w:t xml:space="preserve">，主要原因是</w:t>
      </w:r>
      <w:r>
        <w:rPr>
          <w:rFonts w:hint="eastAsia"/>
          <w:sz w:val="28"/>
          <w:szCs w:val="28"/>
          <w:lang w:val="en-US" w:eastAsia="zh-CN"/>
        </w:rPr>
        <w:t xml:space="preserve">本部门为2023年6月设立单位，没有上年同期数</w:t>
      </w:r>
      <w:r>
        <w:rPr>
          <w:rFonts w:hint="eastAsia"/>
          <w:sz w:val="28"/>
          <w:szCs w:val="28"/>
        </w:rPr>
        <w:t xml:space="preserve">。</w:t>
      </w:r>
    </w:p>
    <w:p>
      <w:pPr>
        <w:pStyle w:val="Bodytext|2"/>
        <w:keepNext w:val="0"/>
        <w:keepLines w:val="0"/>
        <w:pageBreakBefore w:val="0"/>
        <w:widowControl w:val="0"/>
        <w:tabs>
          <w:tab w:val="left" w:pos="1235"/>
        </w:tabs>
        <w:kinsoku/>
        <w:wordWrap/>
        <w:overflowPunct/>
        <w:topLinePunct w:val="0"/>
        <w:autoSpaceDE/>
        <w:autoSpaceDN/>
        <w:bidi w:val="0"/>
        <w:adjustRightInd/>
        <w:snapToGrid/>
        <w:spacing w:before="120" w:after="0" w:line="600" w:lineRule="exact"/>
        <w:ind w:firstLine="578"/>
        <w:jc w:val="left"/>
        <w:textAlignment w:val="auto"/>
        <w:rPr>
          <w:b/>
          <w:bCs/>
        </w:rPr>
      </w:pPr>
      <w:r>
        <w:rPr>
          <w:b/>
          <w:bCs/>
        </w:rPr>
        <w:t xml:space="preserve">十、其他重要事项</w:t>
      </w:r>
      <w:r>
        <w:rPr>
          <w:rFonts w:hint="eastAsia"/>
          <w:b/>
          <w:bCs/>
          <w:lang w:val="en-US" w:eastAsia="zh-CN"/>
        </w:rPr>
        <w:t xml:space="preserve">情况</w:t>
      </w:r>
      <w:r>
        <w:rPr>
          <w:b/>
          <w:bCs/>
        </w:rPr>
        <w:t xml:space="preserve">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（一）机关运行经费安排情况说明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2024</w:t>
      </w:r>
      <w:r>
        <w:rPr>
          <w:rFonts w:ascii="宋体" w:eastAsia="宋体" w:hAnsi="宋体" w:cs="宋体"/>
          <w:sz w:val="28"/>
          <w:u w:color="auto"/>
        </w:rPr>
        <w:t xml:space="preserve">年本部门机关运行经费预算</w:t>
      </w:r>
      <w:r>
        <w:rPr>
          <w:rFonts w:ascii="宋体" w:eastAsia="宋体" w:hAnsi="宋体" w:cs="宋体" w:hint="eastAsia"/>
          <w:sz w:val="28"/>
          <w:szCs w:val="28"/>
          <w:lang w:val="en-US" w:eastAsia="zh-CN"/>
        </w:rPr>
        <w:t xml:space="preserve">0.42</w:t>
      </w:r>
      <w:r>
        <w:rPr>
          <w:rFonts w:ascii="宋体" w:eastAsia="宋体" w:hAnsi="宋体" w:cs="宋体" w:hint="eastAsia"/>
          <w:sz w:val="28"/>
          <w:szCs w:val="28"/>
          <w:lang w:eastAsia="zh-CN"/>
        </w:rPr>
        <w:t xml:space="preserve">万元，较2023年度预算数</w:t>
      </w:r>
      <w:r>
        <w:rPr>
          <w:rFonts w:ascii="宋体" w:eastAsia="宋体" w:hAnsi="宋体" w:cs="宋体" w:hint="eastAsia"/>
          <w:sz w:val="28"/>
          <w:szCs w:val="28"/>
          <w:lang w:val="en-US" w:eastAsia="zh-CN"/>
        </w:rPr>
        <w:t xml:space="preserve">0.00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增加0.42</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增长100%</w:t>
      </w:r>
      <w:r>
        <w:rPr>
          <w:rFonts w:ascii="宋体" w:eastAsia="宋体" w:hAnsi="宋体" w:cs="宋体" w:hint="eastAsia"/>
          <w:sz w:val="28"/>
          <w:szCs w:val="28"/>
          <w:lang w:eastAsia="zh-CN"/>
        </w:rPr>
        <w:t xml:space="preserve">，主要原因是：</w:t>
      </w:r>
      <w:r>
        <w:rPr>
          <w:rFonts w:ascii="宋体" w:eastAsia="宋体" w:hAnsi="宋体" w:cs="宋体" w:hint="eastAsia"/>
          <w:sz w:val="28"/>
          <w:szCs w:val="28"/>
          <w:lang w:val="en-US" w:eastAsia="zh-CN"/>
        </w:rPr>
        <w:t xml:space="preserve">本部门为2023年6月设立单位，没有上年同期数</w:t>
      </w:r>
      <w:r>
        <w:rPr>
          <w:rFonts w:ascii="宋体" w:eastAsia="宋体" w:hAnsi="宋体" w:cs="宋体" w:hint="eastAsia"/>
          <w:sz w:val="28"/>
          <w:szCs w:val="28"/>
          <w:lang w:eastAsia="zh-CN"/>
        </w:rPr>
        <w:t xml:space="preserve">。</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（二）政府采购预算安排情况说明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default"/>
          <w:sz w:val="28"/>
          <w:szCs w:val="28"/>
          <w:lang w:val="en-US" w:eastAsia="zh-CN"/>
        </w:rPr>
      </w:pPr>
      <w:r>
        <w:rPr>
          <w:rFonts w:ascii="宋体" w:eastAsia="宋体" w:hAnsi="宋体" w:cs="宋体" w:hint="eastAsia"/>
          <w:sz w:val="28"/>
          <w:szCs w:val="28"/>
          <w:lang w:eastAsia="zh-CN"/>
        </w:rPr>
        <w:t xml:space="preserve">我部门2024年政府采购预算总金额</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万元。其中：货物类采购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万元、工程类采购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万元、服务类采购</w:t>
      </w:r>
      <w:r>
        <w:rPr>
          <w:rFonts w:ascii="宋体" w:eastAsia="宋体" w:hAnsi="宋体" w:cs="宋体" w:hint="eastAsia"/>
          <w:sz w:val="28"/>
          <w:szCs w:val="28"/>
          <w:lang w:val="en-US" w:eastAsia="zh-CN"/>
        </w:rPr>
        <w:t xml:space="preserve">0</w:t>
      </w:r>
      <w:r>
        <w:rPr>
          <w:rFonts w:ascii="宋体" w:eastAsia="宋体" w:hAnsi="宋体" w:cs="宋体" w:hint="eastAsia"/>
          <w:sz w:val="28"/>
          <w:szCs w:val="28"/>
          <w:lang w:eastAsia="zh-CN"/>
        </w:rPr>
        <w:t xml:space="preserve">万元。</w:t>
      </w:r>
      <w:r>
        <w:rPr>
          <w:rFonts w:ascii="宋体" w:eastAsia="宋体" w:hAnsi="宋体" w:cs="宋体" w:hint="eastAsia"/>
          <w:sz w:val="28"/>
          <w:szCs w:val="28"/>
          <w:lang w:val="en-US" w:eastAsia="zh-CN"/>
        </w:rPr>
        <w:t xml:space="preserve">主要用于：无</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（三）国有资产占用情况说明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截至2023年12月31日，本部门共有车辆</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辆，其中，应急机要通信用车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辆、一般执法执勤用车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辆、特种专业技术用车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辆、其他用车</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辆，单位价值200万元以上大型设备</w:t>
      </w:r>
      <w:r>
        <w:rPr>
          <w:rFonts w:hint="eastAsia"/>
          <w:sz w:val="28"/>
          <w:szCs w:val="28"/>
          <w:highlight w:val="none"/>
          <w:lang w:val="en-US" w:eastAsia="zh-CN"/>
        </w:rPr>
        <w:t xml:space="preserve">0</w:t>
      </w:r>
      <w:r>
        <w:rPr>
          <w:rFonts w:ascii="宋体" w:eastAsia="宋体" w:hAnsi="宋体" w:cs="宋体" w:hint="eastAsia"/>
          <w:sz w:val="28"/>
          <w:szCs w:val="28"/>
          <w:lang w:eastAsia="zh-CN"/>
        </w:rPr>
        <w:t xml:space="preserve">台（套）。</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（四）预算绩效目标情况说明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1.我部门2024年所有项目支出全面实施绩效目标管理，涉及项目</w:t>
      </w:r>
      <w:r>
        <w:rPr>
          <w:rFonts w:hint="eastAsia"/>
          <w:sz w:val="28"/>
          <w:szCs w:val="28"/>
          <w:highlight w:val="none"/>
          <w:lang w:val="en-US" w:eastAsia="zh-CN"/>
        </w:rPr>
        <w:t xml:space="preserve">3</w:t>
      </w:r>
      <w:r>
        <w:rPr>
          <w:rFonts w:ascii="宋体" w:eastAsia="宋体" w:hAnsi="宋体" w:cs="宋体" w:hint="eastAsia"/>
          <w:sz w:val="28"/>
          <w:szCs w:val="28"/>
          <w:lang w:eastAsia="zh-CN"/>
        </w:rPr>
        <w:t xml:space="preserve">个，预算资金</w:t>
      </w:r>
      <w:r>
        <w:rPr>
          <w:rFonts w:hint="eastAsia"/>
          <w:sz w:val="28"/>
          <w:szCs w:val="28"/>
          <w:highlight w:val="none"/>
          <w:lang w:val="en-US" w:eastAsia="zh-CN"/>
        </w:rPr>
        <w:t xml:space="preserve">1079.3</w:t>
      </w:r>
      <w:r>
        <w:rPr>
          <w:rFonts w:ascii="宋体" w:eastAsia="宋体" w:hAnsi="宋体" w:cs="宋体" w:hint="eastAsia"/>
          <w:sz w:val="28"/>
          <w:szCs w:val="28"/>
          <w:lang w:eastAsia="zh-CN"/>
        </w:rPr>
        <w:t xml:space="preserve">万元。绩效目标情况详见报表（日常运转类项目、工资类人员经费项目和涉密项目等除外）。</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ascii="宋体" w:eastAsia="宋体" w:hAnsi="宋体" w:cs="宋体" w:hint="eastAsia"/>
          <w:sz w:val="28"/>
          <w:szCs w:val="28"/>
          <w:lang w:eastAsia="zh-CN"/>
        </w:rPr>
      </w:pPr>
      <w:r>
        <w:rPr>
          <w:rFonts w:ascii="宋体" w:eastAsia="宋体" w:hAnsi="宋体" w:cs="宋体" w:hint="eastAsia"/>
          <w:sz w:val="28"/>
          <w:szCs w:val="28"/>
          <w:lang w:eastAsia="zh-CN"/>
        </w:rPr>
        <w:t xml:space="preserve">2.重点项目预算绩效目标说明。</w:t>
      </w:r>
    </w:p>
    <w:p>
      <w:pPr>
        <w:pStyle w:val="Bodytext|1"/>
        <w:keepNext w:val="0"/>
        <w:keepLines w:val="0"/>
        <w:pageBreakBefore w:val="0"/>
        <w:widowControl w:val="0"/>
        <w:kinsoku/>
        <w:wordWrap/>
        <w:overflowPunct/>
        <w:topLinePunct w:val="0"/>
        <w:autoSpaceDE/>
        <w:autoSpaceDN/>
        <w:bidi w:val="0"/>
        <w:adjustRightInd/>
        <w:snapToGrid/>
        <w:spacing w:line="600" w:lineRule="exact"/>
        <w:ind w:firstLine="601"/>
        <w:jc w:val="left"/>
        <w:textAlignment w:val="auto"/>
        <w:rPr>
          <w:rFonts w:hint="eastAsia"/>
          <w:sz w:val="28"/>
          <w:szCs w:val="28"/>
          <w:highlight w:val="none"/>
          <w:lang w:val="en-US" w:eastAsia="zh-CN"/>
        </w:rPr>
      </w:pPr>
      <w:r>
        <w:rPr>
          <w:rFonts w:hint="eastAsia"/>
          <w:sz w:val="28"/>
          <w:szCs w:val="28"/>
          <w:highlight w:val="none"/>
          <w:lang w:val="en-US" w:eastAsia="zh-CN"/>
        </w:rPr>
        <w:t xml:space="preserve">重点项目一：项目名称：安全生产经费，预算资金0.95万元，2024年度绩效目标为：加强安全生产基础工作，有效预防和控制各类安全事故。设1条数量指标：开展安全生产大检查1次；设1条质量指标：监督检查对象覆盖率=100%；设1条时效指标：经费使用时间=1年；设1条成本指标：项目成本≤0.95万元；设1条社会效益指标：保障医院正常运行效果明显；设1条满意度指标：服务对象满意度≥95%</w:t>
      </w:r>
    </w:p>
    <w:p>
      <w:pPr>
        <w:pStyle w:val="Bodytext|1"/>
        <w:spacing w:line="624" w:lineRule="exact"/>
        <w:ind w:firstLine="600"/>
        <w:jc w:val="left"/>
        <w:rPr>
          <w:rFonts w:hint="eastAsia"/>
          <w:sz w:val="28"/>
          <w:szCs w:val="28"/>
          <w:highlight w:val="none"/>
          <w:lang w:val="en-US" w:eastAsia="zh-CN"/>
        </w:rPr>
      </w:pPr>
    </w:p>
    <w:p>
      <w:pPr>
        <w:pStyle w:val="Bodytext|1"/>
        <w:spacing w:line="624" w:lineRule="exact"/>
        <w:jc w:val="left"/>
        <w:rPr>
          <w:rFonts w:hint="default"/>
          <w:sz w:val="28"/>
          <w:szCs w:val="28"/>
          <w:highlight w:val="none"/>
          <w:lang w:val="en-US" w:eastAsia="zh-CN"/>
        </w:rPr>
        <w:sectPr>
          <w:headerReference w:type="default" r:id="rId14"/>
          <w:footerReference w:type="default" r:id="rId15"/>
          <w:pgSz w:w="11900" w:h="16840" w:orient="portrait"/>
          <w:pgMar w:top="1440" w:right="1800" w:bottom="1440" w:left="1800" w:header="0" w:footer="1077" w:gutter="0"/>
          <w:pgBorders>
            <w:top w:val="none" w:sz="0" w:space="0" w:color="auto"/>
            <w:left w:val="none" w:sz="0" w:space="0" w:color="auto"/>
            <w:bottom w:val="none" w:sz="0" w:space="0" w:color="auto"/>
            <w:right w:val="none" w:sz="0" w:space="0" w:color="auto"/>
          </w:pgBorders>
          <w:pgNumType w:fmt="decimal"/>
          <w:cols w:num="1" w:space="720">
            <w:col w:w="8300" w:space="720"/>
          </w:cols>
          <w:docGrid w:linePitch="360" w:charSpace="0"/>
        </w:sectPr>
      </w:pPr>
    </w:p>
    <w:p>
      <w:pPr>
        <w:pStyle w:val="Heading#1|1"/>
        <w:keepNext/>
        <w:keepLines/>
        <w:spacing w:after="980"/>
        <w:jc w:val="center"/>
        <w:rPr>
          <w:rFonts w:ascii="宋体" w:eastAsia="宋体" w:hAnsi="宋体" w:cs="宋体" w:hint="eastAsia"/>
          <w:b/>
          <w:bCs/>
          <w:sz w:val="36"/>
          <w:szCs w:val="36"/>
        </w:rPr>
      </w:pPr>
      <w:bookmarkEnd w:id="10"/>
      <w:bookmarkEnd w:id="11"/>
      <w:bookmarkEnd w:id="12"/>
      <w:r>
        <w:rPr>
          <w:rFonts w:ascii="宋体" w:eastAsia="宋体" w:hAnsi="宋体" w:cs="宋体" w:hint="eastAsia"/>
          <w:b/>
          <w:bCs/>
          <w:sz w:val="36"/>
          <w:szCs w:val="36"/>
        </w:rPr>
        <w:t xml:space="preserve">第</w:t>
      </w:r>
      <w:r>
        <w:rPr>
          <w:rFonts w:ascii="宋体" w:eastAsia="宋体" w:hAnsi="宋体" w:cs="宋体" w:hint="eastAsia"/>
          <w:b/>
          <w:bCs/>
          <w:sz w:val="36"/>
          <w:szCs w:val="36"/>
          <w:lang w:val="en-US" w:eastAsia="zh-CN"/>
        </w:rPr>
        <w:t xml:space="preserve">三</w:t>
      </w:r>
      <w:r>
        <w:rPr>
          <w:rFonts w:ascii="宋体" w:eastAsia="宋体" w:hAnsi="宋体" w:cs="宋体" w:hint="eastAsia"/>
          <w:b/>
          <w:bCs/>
          <w:sz w:val="36"/>
          <w:szCs w:val="36"/>
        </w:rPr>
        <w:t xml:space="preserve">部分</w:t>
      </w:r>
      <w:r>
        <w:rPr>
          <w:rFonts w:ascii="宋体" w:eastAsia="宋体" w:hAnsi="宋体" w:cs="宋体" w:hint="eastAsia"/>
          <w:b/>
          <w:bCs/>
          <w:sz w:val="36"/>
          <w:szCs w:val="36"/>
          <w:lang w:eastAsia="zh-CN"/>
        </w:rPr>
        <w:t xml:space="preserve">环江毛南族自治县中医医院</w:t>
      </w:r>
      <w:r>
        <w:rPr>
          <w:rFonts w:ascii="宋体" w:eastAsia="宋体" w:hAnsi="宋体" w:cs="宋体"/>
          <w:b/>
          <w:sz w:val="36"/>
          <w:u w:color="auto"/>
        </w:rPr>
        <w:t xml:space="preserve">2024</w:t>
      </w:r>
      <w:r>
        <w:rPr>
          <w:rFonts w:ascii="宋体" w:eastAsia="宋体" w:hAnsi="宋体" w:cs="宋体"/>
          <w:b/>
          <w:sz w:val="36"/>
          <w:u w:color="auto"/>
        </w:rPr>
        <w:t xml:space="preserve">年</w:t>
      </w:r>
      <w:r>
        <w:rPr>
          <w:rFonts w:ascii="宋体" w:eastAsia="宋体" w:hAnsi="宋体" w:cs="宋体" w:hint="eastAsia"/>
          <w:b/>
          <w:bCs/>
          <w:sz w:val="36"/>
          <w:szCs w:val="36"/>
        </w:rPr>
        <w:t xml:space="preserve">部门预算表</w:t>
      </w:r>
    </w:p>
    <w:p>
      <w:pPr>
        <w:pStyle w:val="Heading#2|1"/>
        <w:keepNext/>
        <w:keepLines/>
        <w:spacing w:after="240"/>
        <w:jc w:val="center"/>
      </w:pPr>
      <w:bookmarkStart w:id="16" w:name="bookmark31"/>
      <w:bookmarkStart w:id="17" w:name="bookmark30"/>
      <w:bookmarkStart w:id="18" w:name="bookmark29"/>
      <w:r>
        <w:t xml:space="preserve">收支总体情况表</w:t>
      </w:r>
      <w:bookmarkEnd w:id="16"/>
      <w:bookmarkEnd w:id="17"/>
      <w:bookmarkEnd w:id="18"/>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3339"/>
        <w:gridCol w:w="3760"/>
        <w:gridCol w:w="3542"/>
        <w:gridCol w:w="3571"/>
      </w:tblGrid>
      <w:tr>
        <w:tblPrEx>
          <w:tblW w:w="0" w:type="auto"/>
          <w:tblInd w:w="0" w:type="dxa"/>
          <w:tblLayout w:type="fixed"/>
          <w:tblCellMar>
            <w:top w:w="0" w:type="dxa"/>
            <w:left w:w="10" w:type="dxa"/>
            <w:bottom w:w="0" w:type="dxa"/>
            <w:right w:w="10" w:type="dxa"/>
          </w:tblCellMar>
        </w:tblPrEx>
        <w:trPr>
          <w:cantSplit/>
          <w:trHeight w:hRule="exact" w:val="331"/>
        </w:trPr>
        <w:tc>
          <w:tcPr>
            <w:tcW w:w="10641" w:type="dxa"/>
            <w:gridSpan w:val="3"/>
            <w:tcBorders>
              <w:bottom w:val="single" w:sz="4" w:space="0" w:color="auto"/>
            </w:tcBorders>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环江毛南族自治县中医医院</w:t>
            </w:r>
          </w:p>
        </w:tc>
        <w:tc>
          <w:tcPr>
            <w:tcW w:w="3571" w:type="dxa"/>
            <w:tcBorders>
              <w:bottom w:val="single" w:sz="4" w:space="0" w:color="auto"/>
            </w:tcBorders>
            <w:shd w:val="clear" w:color="auto" w:fill="FFFFFF"/>
          </w:tcPr>
          <w:p>
            <w:pPr>
              <w:pStyle w:val="Other|1"/>
              <w:spacing w:line="240" w:lineRule="auto"/>
              <w:ind w:firstLine="2380" w:firstLineChars="14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456"/>
        </w:trPr>
        <w:tc>
          <w:tcPr>
            <w:tcW w:w="709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2890" w:firstLineChars="1700"/>
              <w:jc w:val="both"/>
              <w:rPr>
                <w:sz w:val="17"/>
                <w:szCs w:val="17"/>
              </w:rPr>
            </w:pPr>
            <w:r>
              <w:rPr>
                <w:sz w:val="17"/>
                <w:szCs w:val="17"/>
              </w:rPr>
              <w:t xml:space="preserve">收入</w:t>
            </w:r>
          </w:p>
        </w:tc>
        <w:tc>
          <w:tcPr>
            <w:tcW w:w="711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right="340" w:firstLine="2890" w:firstLineChars="1700"/>
              <w:jc w:val="both"/>
              <w:rPr>
                <w:sz w:val="17"/>
                <w:szCs w:val="17"/>
              </w:rPr>
            </w:pPr>
            <w:r>
              <w:rPr>
                <w:sz w:val="17"/>
                <w:szCs w:val="17"/>
              </w:rPr>
              <w:t xml:space="preserve">支出</w:t>
            </w:r>
          </w:p>
        </w:tc>
      </w:tr>
      <w:tr>
        <w:tblPrEx>
          <w:tblW w:w="0" w:type="auto"/>
          <w:tblInd w:w="0" w:type="dxa"/>
          <w:tblLayout w:type="fixed"/>
          <w:tblCellMar>
            <w:top w:w="0" w:type="dxa"/>
            <w:left w:w="10" w:type="dxa"/>
            <w:bottom w:w="0" w:type="dxa"/>
            <w:right w:w="10" w:type="dxa"/>
          </w:tblCellMar>
        </w:tblPrEx>
        <w:trPr>
          <w:cantSplit/>
          <w:trHeight w:hRule="exact" w:val="432"/>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项目</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tabs>
                <w:tab w:val="left" w:pos="894"/>
              </w:tabs>
              <w:spacing w:line="240" w:lineRule="auto"/>
              <w:jc w:val="left"/>
              <w:rPr>
                <w:sz w:val="17"/>
                <w:szCs w:val="17"/>
              </w:rPr>
            </w:pPr>
            <w:r>
              <w:rPr>
                <w:sz w:val="17"/>
                <w:szCs w:val="17"/>
              </w:rPr>
              <w:t xml:space="preserve">项</w:t>
            </w:r>
            <w:r>
              <w:rPr>
                <w:sz w:val="17"/>
                <w:szCs w:val="17"/>
              </w:rPr>
              <w:tab/>
            </w:r>
            <w:r>
              <w:rPr>
                <w:sz w:val="17"/>
                <w:szCs w:val="17"/>
              </w:rPr>
              <w:t xml:space="preserve">目（按支出功能科目分类）</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一、一般公共预算拨款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35.59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一、一般公共服务支出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0.42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二、外交支出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35.59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三、国防支出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二、政府性基金预算拨款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四、公共安全支出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五、教育支出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六、科学技术支出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三、国有资本经营预算拨款</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七、文化旅游体育与传媒支出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1、上级补助</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八、社会保障和就业支出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5.32</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2、本级</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九、卫生健康支出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1104.46</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四、财政专户管理资金收入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十、节能环保支出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五、事业收入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1079.30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十一、城乡社区支出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六、事业单位经营收入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十二、农林水支出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七、上级补助收入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十三、交通运输支出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八、附属单位上缴收入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十四、资源勘探工业信息等支出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九、其他收入</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十五、商业服务业等支出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十六、金融支出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十七、援助其他地区支出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十八、自然资源海洋气象等支出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十九、住房保障支出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4.68</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二十、粮油物资储备支出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二十一、国有资本经营预算支出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二十二、灾害防治及应急管理支出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二十三、其他支出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二十四、债务还本支出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二十五、债务付息支出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二十六、债务发行费用支出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本年收入合计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1114.89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本年支出合计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1114.89</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上年结转结余</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结转下年支出</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cantSplit/>
          <w:trHeight w:hRule="exact" w:val="451"/>
        </w:trPr>
        <w:tc>
          <w:tcPr>
            <w:tcW w:w="3339"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收入总计</w:t>
            </w:r>
          </w:p>
        </w:tc>
        <w:tc>
          <w:tcPr>
            <w:tcW w:w="3760"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1114.89</w:t>
            </w:r>
          </w:p>
        </w:tc>
        <w:tc>
          <w:tcPr>
            <w:tcW w:w="3542"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180"/>
              <w:jc w:val="left"/>
              <w:rPr>
                <w:rFonts w:eastAsia="宋体" w:hint="default"/>
                <w:sz w:val="17"/>
                <w:szCs w:val="17"/>
                <w:lang w:val="en-US" w:eastAsia="zh-CN"/>
              </w:rPr>
            </w:pPr>
            <w:r>
              <w:rPr>
                <w:rFonts w:hint="eastAsia"/>
                <w:sz w:val="17"/>
                <w:szCs w:val="17"/>
                <w:lang w:val="en-US" w:eastAsia="zh-CN"/>
              </w:rPr>
              <w:t xml:space="preserve">支出总计</w:t>
            </w:r>
          </w:p>
        </w:tc>
        <w:tc>
          <w:tcPr>
            <w:tcW w:w="3571" w:type="dxa"/>
            <w:tcBorders>
              <w:top w:val="single" w:sz="4" w:space="0" w:color="auto"/>
              <w:left w:val="single" w:sz="4" w:space="0" w:color="auto"/>
              <w:bottom w:val="single" w:sz="4" w:space="0" w:color="auto"/>
              <w:right w:val="single" w:sz="4" w:space="0" w:color="auto"/>
            </w:tcBorders>
            <w:shd w:val="clear" w:color="auto" w:fill="auto"/>
            <w:vAlign w:val="center"/>
          </w:tcPr>
          <w:p>
            <w:pPr>
              <w:pStyle w:val="Other|1"/>
              <w:spacing w:line="240" w:lineRule="auto"/>
              <w:ind w:firstLine="0"/>
              <w:jc w:val="left"/>
              <w:rPr>
                <w:rFonts w:eastAsia="宋体" w:hint="default"/>
                <w:sz w:val="17"/>
                <w:szCs w:val="17"/>
                <w:lang w:val="en-US" w:eastAsia="zh-CN"/>
              </w:rPr>
            </w:pPr>
            <w:r>
              <w:rPr>
                <w:rFonts w:hint="eastAsia"/>
                <w:sz w:val="17"/>
                <w:szCs w:val="17"/>
                <w:lang w:val="en-US" w:eastAsia="zh-CN"/>
              </w:rPr>
              <w:t xml:space="preserve">1114.89</w:t>
            </w:r>
          </w:p>
        </w:tc>
      </w:tr>
    </w:tbl>
    <w:p>
      <w:pPr>
        <w:pStyle w:val="Tablecaption|1"/>
        <w:ind w:left="101"/>
        <w:jc w:val="left"/>
      </w:pPr>
      <w:r>
        <w:t xml:space="preserve">注：报表金额单位转换时可能存在四舍五入尾数误差。</w:t>
      </w: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pPr>
    </w:p>
    <w:p>
      <w:pPr>
        <w:tabs>
          <w:tab w:val="left" w:pos="859"/>
        </w:tabs>
        <w:jc w:val="left"/>
        <w:rPr>
          <w:rFonts w:eastAsia="宋体"/>
          <w:lang w:eastAsia="zh-CN"/>
        </w:rPr>
        <w:sectPr>
          <w:headerReference w:type="default" r:id="rId16"/>
          <w:footerReference w:type="default" r:id="rId17"/>
          <w:pgSz w:w="16840" w:h="11900" w:orient="landscape"/>
          <w:pgMar w:top="2397" w:right="761" w:bottom="1966" w:left="739" w:header="0" w:footer="1474" w:gutter="0"/>
          <w:pgBorders>
            <w:top w:val="none" w:sz="0" w:space="0" w:color="auto"/>
            <w:left w:val="none" w:sz="0" w:space="0" w:color="auto"/>
            <w:bottom w:val="none" w:sz="0" w:space="0" w:color="auto"/>
            <w:right w:val="none" w:sz="0" w:space="0" w:color="auto"/>
          </w:pgBorders>
          <w:pgNumType w:fmt="decimal"/>
          <w:cols w:num="1" w:space="720">
            <w:col w:w="15340" w:space="720"/>
          </w:cols>
          <w:docGrid w:linePitch="360" w:charSpace="0"/>
        </w:sectPr>
      </w:pPr>
    </w:p>
    <w:p>
      <w:pPr>
        <w:tabs>
          <w:tab w:val="left" w:pos="859"/>
        </w:tabs>
        <w:jc w:val="left"/>
        <w:rPr>
          <w:rFonts w:eastAsia="宋体"/>
          <w:lang w:eastAsia="zh-CN"/>
        </w:rPr>
      </w:pPr>
    </w:p>
    <w:p>
      <w:pPr>
        <w:tabs>
          <w:tab w:val="left" w:pos="859"/>
        </w:tabs>
        <w:jc w:val="center"/>
        <w:rPr>
          <w:rFonts w:eastAsia="宋体" w:hint="eastAsia"/>
          <w:lang w:val="en-US" w:eastAsia="zh-CN"/>
        </w:rPr>
      </w:pPr>
    </w:p>
    <w:p>
      <w:pPr>
        <w:tabs>
          <w:tab w:val="left" w:pos="859"/>
        </w:tabs>
        <w:jc w:val="center"/>
        <w:rPr>
          <w:rFonts w:eastAsia="宋体" w:hint="eastAsia"/>
          <w:lang w:val="en-US" w:eastAsia="zh-CN"/>
        </w:rPr>
      </w:pPr>
      <w:r>
        <w:rPr>
          <w:rFonts w:eastAsia="宋体" w:hint="eastAsia"/>
          <w:lang w:val="en-US" w:eastAsia="zh-CN"/>
        </w:rPr>
        <w:t xml:space="preserve">收入总体情况表</w:t>
      </w:r>
    </w:p>
    <w:p>
      <w:pPr>
        <w:tabs>
          <w:tab w:val="left" w:pos="859"/>
        </w:tabs>
        <w:jc w:val="center"/>
        <w:rPr>
          <w:rFonts w:eastAsia="宋体" w:hint="eastAsia"/>
          <w:lang w:val="en-US"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firstRow="0" w:lastRow="0" w:firstColumn="0" w:lastColumn="0" w:noHBand="1" w:noVBand="1"/>
      </w:tblPr>
      <w:tblGrid>
        <w:gridCol w:w="1636"/>
        <w:gridCol w:w="1279"/>
        <w:gridCol w:w="990"/>
        <w:gridCol w:w="926"/>
        <w:gridCol w:w="909"/>
        <w:gridCol w:w="968"/>
        <w:gridCol w:w="990"/>
        <w:gridCol w:w="1078"/>
        <w:gridCol w:w="972"/>
        <w:gridCol w:w="919"/>
        <w:gridCol w:w="1011"/>
        <w:gridCol w:w="859"/>
        <w:gridCol w:w="944"/>
        <w:gridCol w:w="150"/>
        <w:gridCol w:w="937"/>
        <w:gridCol w:w="9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270"/>
        </w:trPr>
        <w:tc>
          <w:tcPr>
            <w:tcW w:w="13481" w:type="dxa"/>
            <w:gridSpan w:val="13"/>
            <w:tcBorders>
              <w:top w:val="nil"/>
              <w:left w:val="nil"/>
              <w:right w:val="nil"/>
            </w:tcBorders>
          </w:tcPr>
          <w:p>
            <w:pPr>
              <w:pStyle w:val="Tablecaption|1"/>
              <w:jc w:val="both"/>
              <w:rPr>
                <w:rFonts w:hint="eastAsia"/>
                <w:lang w:val="en-US" w:eastAsia="zh-CN"/>
              </w:rPr>
            </w:pPr>
            <w:r>
              <w:rPr>
                <w:sz w:val="17"/>
                <w:szCs w:val="17"/>
              </w:rPr>
              <w:t xml:space="preserve">单位名称：</w:t>
            </w:r>
            <w:r>
              <w:rPr>
                <w:rFonts w:hint="eastAsia"/>
                <w:sz w:val="17"/>
                <w:szCs w:val="17"/>
                <w:lang w:eastAsia="zh-CN"/>
              </w:rPr>
              <w:t xml:space="preserve">环江毛南族自治县中医医院</w:t>
            </w:r>
          </w:p>
        </w:tc>
        <w:tc>
          <w:tcPr>
            <w:tcW w:w="2076" w:type="dxa"/>
            <w:gridSpan w:val="3"/>
            <w:tcBorders>
              <w:top w:val="nil"/>
              <w:left w:val="nil"/>
              <w:right w:val="nil"/>
            </w:tcBorders>
          </w:tcPr>
          <w:p>
            <w:pPr>
              <w:pStyle w:val="Tablecaption|1"/>
              <w:ind w:firstLine="340" w:firstLineChars="200"/>
              <w:jc w:val="left"/>
              <w:rPr>
                <w:rFonts w:hint="eastAsia"/>
                <w:lang w:val="en-US" w:eastAsia="zh-CN"/>
              </w:rPr>
            </w:pPr>
            <w:r>
              <w:rPr>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部门（单位）代码</w:t>
            </w:r>
          </w:p>
        </w:tc>
        <w:tc>
          <w:tcPr>
            <w:tcW w:w="1279" w:type="dxa"/>
            <w:vMerge w:val="restart"/>
            <w:vAlign w:val="center"/>
          </w:tcPr>
          <w:p>
            <w:pPr>
              <w:tabs>
                <w:tab w:val="left" w:pos="859"/>
              </w:tabs>
              <w:jc w:val="center"/>
              <w:rPr>
                <w:rFonts w:eastAsia="宋体" w:hint="eastAsia"/>
                <w:vertAlign w:val="baseline"/>
                <w:lang w:val="en-US" w:eastAsia="zh-CN"/>
              </w:rPr>
            </w:pPr>
            <w:r>
              <w:rPr>
                <w:sz w:val="17"/>
                <w:szCs w:val="17"/>
              </w:rPr>
              <w:t xml:space="preserve">部门（单位）名称</w:t>
            </w:r>
          </w:p>
        </w:tc>
        <w:tc>
          <w:tcPr>
            <w:tcW w:w="990" w:type="dxa"/>
            <w:vMerge w:val="restart"/>
            <w:vAlign w:val="center"/>
          </w:tcPr>
          <w:p>
            <w:pPr>
              <w:pStyle w:val="Other|1"/>
              <w:spacing w:line="240" w:lineRule="auto"/>
              <w:ind w:left="0" w:firstLine="0" w:leftChars="0" w:firstLineChars="0"/>
              <w:jc w:val="center"/>
              <w:rPr>
                <w:rFonts w:eastAsia="宋体" w:hint="eastAsia"/>
                <w:vertAlign w:val="baseline"/>
                <w:lang w:val="en-US" w:eastAsia="zh-CN"/>
              </w:rPr>
            </w:pPr>
            <w:r>
              <w:rPr>
                <w:rFonts w:hint="eastAsia"/>
                <w:sz w:val="17"/>
                <w:szCs w:val="17"/>
                <w:lang w:val="en-US" w:eastAsia="zh-CN"/>
              </w:rPr>
              <w:t xml:space="preserve">合</w:t>
            </w:r>
            <w:r>
              <w:rPr>
                <w:sz w:val="17"/>
                <w:szCs w:val="17"/>
              </w:rPr>
              <w:t xml:space="preserve">计</w:t>
            </w:r>
          </w:p>
        </w:tc>
        <w:tc>
          <w:tcPr>
            <w:tcW w:w="5843" w:type="dxa"/>
            <w:gridSpan w:val="6"/>
          </w:tcPr>
          <w:p>
            <w:pPr>
              <w:tabs>
                <w:tab w:val="left" w:pos="859"/>
              </w:tabs>
              <w:jc w:val="center"/>
              <w:rPr>
                <w:rFonts w:eastAsia="宋体" w:hint="eastAsia"/>
                <w:vertAlign w:val="baseline"/>
                <w:lang w:val="en-US" w:eastAsia="zh-CN"/>
              </w:rPr>
            </w:pPr>
            <w:r>
              <w:rPr>
                <w:sz w:val="17"/>
                <w:szCs w:val="17"/>
              </w:rPr>
              <w:t xml:space="preserve">本年收入</w:t>
            </w:r>
          </w:p>
        </w:tc>
        <w:tc>
          <w:tcPr>
            <w:tcW w:w="5809" w:type="dxa"/>
            <w:gridSpan w:val="7"/>
          </w:tcPr>
          <w:p>
            <w:pPr>
              <w:tabs>
                <w:tab w:val="left" w:pos="859"/>
              </w:tabs>
              <w:jc w:val="center"/>
              <w:rPr>
                <w:rFonts w:eastAsia="宋体" w:hint="eastAsia"/>
                <w:vertAlign w:val="baseline"/>
                <w:lang w:val="en-US" w:eastAsia="zh-CN"/>
              </w:rPr>
            </w:pPr>
            <w:r>
              <w:rPr>
                <w:sz w:val="17"/>
                <w:szCs w:val="17"/>
              </w:rPr>
              <w:t xml:space="preserve">上年结转结余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Height w:val="1058"/>
        </w:trPr>
        <w:tc>
          <w:tcPr>
            <w:tcW w:w="1636" w:type="dxa"/>
            <w:vMerge/>
          </w:tcPr>
          <w:p>
            <w:pPr>
              <w:tabs>
                <w:tab w:val="left" w:pos="859"/>
              </w:tabs>
              <w:jc w:val="center"/>
              <w:rPr>
                <w:rFonts w:eastAsia="宋体" w:hint="eastAsia"/>
                <w:vertAlign w:val="baseline"/>
                <w:lang w:val="en-US" w:eastAsia="zh-CN"/>
              </w:rPr>
            </w:pPr>
          </w:p>
        </w:tc>
        <w:tc>
          <w:tcPr>
            <w:tcW w:w="1279" w:type="dxa"/>
            <w:vMerge/>
          </w:tcPr>
          <w:p>
            <w:pPr>
              <w:tabs>
                <w:tab w:val="left" w:pos="859"/>
              </w:tabs>
              <w:jc w:val="center"/>
              <w:rPr>
                <w:rFonts w:eastAsia="宋体" w:hint="eastAsia"/>
                <w:vertAlign w:val="baseline"/>
                <w:lang w:val="en-US" w:eastAsia="zh-CN"/>
              </w:rPr>
            </w:pPr>
          </w:p>
        </w:tc>
        <w:tc>
          <w:tcPr>
            <w:tcW w:w="990" w:type="dxa"/>
            <w:vMerge/>
            <w:vAlign w:val="center"/>
          </w:tcPr>
          <w:p>
            <w:pPr>
              <w:pStyle w:val="Other|1"/>
              <w:spacing w:line="240" w:lineRule="auto"/>
              <w:ind w:firstLine="300" w:firstLineChars="0"/>
              <w:jc w:val="center"/>
              <w:rPr>
                <w:rFonts w:eastAsia="宋体" w:hint="eastAsia"/>
                <w:vertAlign w:val="baseline"/>
                <w:lang w:val="en-US" w:eastAsia="zh-CN"/>
              </w:rPr>
            </w:pPr>
          </w:p>
        </w:tc>
        <w:tc>
          <w:tcPr>
            <w:tcW w:w="926"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90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968"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990"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1078"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firstLine="0" w:firstLineChars="0"/>
              <w:jc w:val="center"/>
              <w:rPr>
                <w:rFonts w:eastAsia="宋体" w:hint="eastAsia"/>
                <w:vertAlign w:val="baseline"/>
                <w:lang w:val="en-US" w:eastAsia="zh-CN"/>
              </w:rPr>
            </w:pPr>
            <w:r>
              <w:rPr>
                <w:sz w:val="17"/>
                <w:szCs w:val="17"/>
              </w:rPr>
              <w:t xml:space="preserve">收入</w:t>
            </w:r>
          </w:p>
        </w:tc>
        <w:tc>
          <w:tcPr>
            <w:tcW w:w="972" w:type="dxa"/>
            <w:vAlign w:val="center"/>
          </w:tcPr>
          <w:p>
            <w:pPr>
              <w:pStyle w:val="Other|1"/>
              <w:spacing w:line="240" w:lineRule="auto"/>
              <w:ind w:firstLine="0" w:firstLineChars="0"/>
              <w:jc w:val="center"/>
              <w:rPr>
                <w:rFonts w:eastAsia="宋体" w:hint="eastAsia"/>
                <w:vertAlign w:val="baseline"/>
                <w:lang w:val="en-US" w:eastAsia="zh-CN"/>
              </w:rPr>
            </w:pPr>
            <w:r>
              <w:rPr>
                <w:sz w:val="17"/>
                <w:szCs w:val="17"/>
              </w:rPr>
              <w:t xml:space="preserve">单位资金</w:t>
            </w:r>
          </w:p>
        </w:tc>
        <w:tc>
          <w:tcPr>
            <w:tcW w:w="919" w:type="dxa"/>
            <w:vAlign w:val="center"/>
          </w:tcPr>
          <w:p>
            <w:pPr>
              <w:pStyle w:val="Other|1"/>
              <w:spacing w:line="240" w:lineRule="auto"/>
              <w:ind w:firstLine="300" w:firstLineChars="0"/>
              <w:jc w:val="center"/>
              <w:rPr>
                <w:rFonts w:eastAsia="宋体" w:hint="eastAsia"/>
                <w:vertAlign w:val="baseline"/>
                <w:lang w:val="en-US" w:eastAsia="zh-CN"/>
              </w:rPr>
            </w:pPr>
            <w:r>
              <w:rPr>
                <w:sz w:val="17"/>
                <w:szCs w:val="17"/>
              </w:rPr>
              <w:t xml:space="preserve">小计</w:t>
            </w:r>
          </w:p>
        </w:tc>
        <w:tc>
          <w:tcPr>
            <w:tcW w:w="1011"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一般公共预算</w:t>
            </w:r>
          </w:p>
        </w:tc>
        <w:tc>
          <w:tcPr>
            <w:tcW w:w="859" w:type="dxa"/>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政府性基金预算</w:t>
            </w:r>
          </w:p>
        </w:tc>
        <w:tc>
          <w:tcPr>
            <w:tcW w:w="1094" w:type="dxa"/>
            <w:gridSpan w:val="2"/>
            <w:vAlign w:val="center"/>
          </w:tcPr>
          <w:p>
            <w:pPr>
              <w:pStyle w:val="Other|1"/>
              <w:spacing w:line="317" w:lineRule="exact"/>
              <w:ind w:firstLine="0" w:firstLineChars="0"/>
              <w:jc w:val="center"/>
              <w:rPr>
                <w:rFonts w:eastAsia="宋体" w:hint="eastAsia"/>
                <w:vertAlign w:val="baseline"/>
                <w:lang w:val="en-US" w:eastAsia="zh-CN"/>
              </w:rPr>
            </w:pPr>
            <w:r>
              <w:rPr>
                <w:sz w:val="17"/>
                <w:szCs w:val="17"/>
              </w:rPr>
              <w:t xml:space="preserve">国有资本经营预算</w:t>
            </w:r>
          </w:p>
        </w:tc>
        <w:tc>
          <w:tcPr>
            <w:tcW w:w="937" w:type="dxa"/>
          </w:tcPr>
          <w:p>
            <w:pPr>
              <w:pStyle w:val="Other|1"/>
              <w:spacing w:line="312" w:lineRule="exact"/>
              <w:ind w:firstLine="0"/>
              <w:jc w:val="center"/>
              <w:rPr>
                <w:sz w:val="17"/>
                <w:szCs w:val="17"/>
              </w:rPr>
            </w:pPr>
            <w:r>
              <w:rPr>
                <w:sz w:val="17"/>
                <w:szCs w:val="17"/>
              </w:rPr>
              <w:t xml:space="preserve">财政专户管理资金</w:t>
            </w:r>
          </w:p>
          <w:p>
            <w:pPr>
              <w:pStyle w:val="Other|1"/>
              <w:spacing w:line="312" w:lineRule="exact"/>
              <w:ind w:right="280" w:firstLine="0" w:rightChars="0" w:firstLineChars="0"/>
              <w:jc w:val="center"/>
              <w:rPr>
                <w:rFonts w:eastAsia="宋体" w:hint="eastAsia"/>
                <w:vertAlign w:val="baseline"/>
                <w:lang w:val="en-US" w:eastAsia="zh-CN"/>
              </w:rPr>
            </w:pPr>
            <w:r>
              <w:rPr>
                <w:sz w:val="17"/>
                <w:szCs w:val="17"/>
              </w:rPr>
              <w:t xml:space="preserve">收入</w:t>
            </w:r>
          </w:p>
        </w:tc>
        <w:tc>
          <w:tcPr>
            <w:tcW w:w="989" w:type="dxa"/>
            <w:vAlign w:val="center"/>
          </w:tcPr>
          <w:p>
            <w:pPr>
              <w:pStyle w:val="Other|1"/>
              <w:spacing w:line="240" w:lineRule="auto"/>
              <w:ind w:firstLine="140" w:firstLineChars="0"/>
              <w:jc w:val="center"/>
              <w:rPr>
                <w:rFonts w:eastAsia="宋体" w:hint="eastAsia"/>
                <w:vertAlign w:val="baseline"/>
                <w:lang w:val="en-US" w:eastAsia="zh-CN"/>
              </w:rPr>
            </w:pPr>
            <w:r>
              <w:rPr>
                <w:sz w:val="17"/>
                <w:szCs w:val="17"/>
              </w:rPr>
              <w:t xml:space="preserve">单位资金</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tcPr>
          <w:p>
            <w:pPr>
              <w:tabs>
                <w:tab w:val="left" w:pos="859"/>
              </w:tabs>
              <w:jc w:val="both"/>
              <w:rPr>
                <w:rFonts w:eastAsia="宋体" w:hint="eastAsia"/>
                <w:vertAlign w:val="baseline"/>
                <w:lang w:val="en-US" w:eastAsia="zh-CN"/>
              </w:rPr>
            </w:pPr>
          </w:p>
        </w:tc>
        <w:tc>
          <w:tcPr>
            <w:tcW w:w="1279" w:type="dxa"/>
          </w:tcPr>
          <w:p>
            <w:pPr>
              <w:tabs>
                <w:tab w:val="left" w:pos="859"/>
              </w:tabs>
              <w:jc w:val="both"/>
              <w:rPr>
                <w:rFonts w:eastAsia="宋体" w:hint="eastAsia"/>
                <w:vertAlign w:val="baseline"/>
                <w:lang w:val="en-US" w:eastAsia="zh-CN"/>
              </w:rPr>
            </w:pPr>
          </w:p>
        </w:tc>
        <w:tc>
          <w:tcPr>
            <w:tcW w:w="990"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w:t>
            </w:r>
          </w:p>
        </w:tc>
        <w:tc>
          <w:tcPr>
            <w:tcW w:w="926"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2</w:t>
            </w:r>
          </w:p>
        </w:tc>
        <w:tc>
          <w:tcPr>
            <w:tcW w:w="909" w:type="dxa"/>
            <w:vAlign w:val="center"/>
          </w:tcPr>
          <w:p>
            <w:pPr>
              <w:pStyle w:val="Other|1"/>
              <w:spacing w:line="240" w:lineRule="auto"/>
              <w:ind w:firstLine="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3</w:t>
            </w:r>
          </w:p>
        </w:tc>
        <w:tc>
          <w:tcPr>
            <w:tcW w:w="96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4</w:t>
            </w:r>
          </w:p>
        </w:tc>
        <w:tc>
          <w:tcPr>
            <w:tcW w:w="990"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5</w:t>
            </w:r>
          </w:p>
        </w:tc>
        <w:tc>
          <w:tcPr>
            <w:tcW w:w="1078"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6</w:t>
            </w:r>
          </w:p>
        </w:tc>
        <w:tc>
          <w:tcPr>
            <w:tcW w:w="972"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7</w:t>
            </w:r>
          </w:p>
        </w:tc>
        <w:tc>
          <w:tcPr>
            <w:tcW w:w="919"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8</w:t>
            </w:r>
          </w:p>
        </w:tc>
        <w:tc>
          <w:tcPr>
            <w:tcW w:w="1011" w:type="dxa"/>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9</w:t>
            </w:r>
          </w:p>
        </w:tc>
        <w:tc>
          <w:tcPr>
            <w:tcW w:w="859" w:type="dxa"/>
            <w:vAlign w:val="center"/>
          </w:tcPr>
          <w:p>
            <w:pPr>
              <w:pStyle w:val="Other|1"/>
              <w:spacing w:line="240" w:lineRule="auto"/>
              <w:ind w:right="36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10</w:t>
            </w:r>
          </w:p>
        </w:tc>
        <w:tc>
          <w:tcPr>
            <w:tcW w:w="1094" w:type="dxa"/>
            <w:gridSpan w:val="2"/>
            <w:vAlign w:val="center"/>
          </w:tcPr>
          <w:p>
            <w:pPr>
              <w:pStyle w:val="Other|1"/>
              <w:spacing w:line="240" w:lineRule="auto"/>
              <w:ind w:left="0" w:firstLine="0" w:lef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11</w:t>
            </w:r>
          </w:p>
        </w:tc>
        <w:tc>
          <w:tcPr>
            <w:tcW w:w="937" w:type="dxa"/>
            <w:vAlign w:val="center"/>
          </w:tcPr>
          <w:p>
            <w:pPr>
              <w:pStyle w:val="Other|1"/>
              <w:spacing w:line="240" w:lineRule="auto"/>
              <w:ind w:right="38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12</w:t>
            </w:r>
          </w:p>
        </w:tc>
        <w:tc>
          <w:tcPr>
            <w:tcW w:w="989" w:type="dxa"/>
            <w:vAlign w:val="center"/>
          </w:tcPr>
          <w:p>
            <w:pPr>
              <w:pStyle w:val="Other|1"/>
              <w:spacing w:line="240" w:lineRule="auto"/>
              <w:ind w:right="420" w:firstLine="0" w:rightChars="0" w:firstLineChars="0"/>
              <w:jc w:val="center"/>
              <w:rPr>
                <w:rFonts w:eastAsia="宋体" w:hint="eastAsia"/>
                <w:vertAlign w:val="baseline"/>
                <w:lang w:val="en-US" w:eastAsia="zh-CN"/>
              </w:rPr>
            </w:pPr>
            <w:r>
              <w:rPr>
                <w:rFonts w:ascii="Times New Roman" w:eastAsia="Times New Roman" w:hAnsi="Times New Roman" w:cs="Times New Roman"/>
                <w:b/>
                <w:bCs/>
                <w:sz w:val="17"/>
                <w:szCs w:val="17"/>
              </w:rPr>
              <w:t xml:space="preserve">13</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636" w:type="dxa"/>
            <w:vAlign w:val="center"/>
          </w:tcPr>
          <w:p>
            <w:pPr>
              <w:pStyle w:val="Other|1"/>
              <w:spacing w:line="240" w:lineRule="auto"/>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402018</w:t>
            </w:r>
          </w:p>
        </w:tc>
        <w:tc>
          <w:tcPr>
            <w:tcW w:w="1279" w:type="dxa"/>
          </w:tcPr>
          <w:p>
            <w:pPr>
              <w:pStyle w:val="Other|1"/>
              <w:spacing w:line="326" w:lineRule="exact"/>
              <w:ind w:firstLine="0" w:firstLineChars="0"/>
              <w:jc w:val="left"/>
              <w:rPr>
                <w:rFonts w:eastAsia="宋体" w:hint="eastAsia"/>
                <w:vertAlign w:val="baseline"/>
                <w:lang w:val="en-US" w:eastAsia="zh-CN"/>
              </w:rPr>
            </w:pPr>
            <w:r>
              <w:rPr>
                <w:rFonts w:ascii="Times New Roman" w:hAnsi="Times New Roman" w:cs="Times New Roman" w:hint="eastAsia"/>
                <w:b/>
                <w:bCs/>
                <w:sz w:val="17"/>
                <w:szCs w:val="17"/>
                <w:lang w:val="en-US" w:eastAsia="zh-CN"/>
              </w:rPr>
              <w:t xml:space="preserve">环江毛南族自治县中医医院</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1114.89</w:t>
            </w:r>
          </w:p>
        </w:tc>
        <w:tc>
          <w:tcPr>
            <w:tcW w:w="926"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1114.89</w:t>
            </w:r>
          </w:p>
        </w:tc>
        <w:tc>
          <w:tcPr>
            <w:tcW w:w="909"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35.59</w:t>
            </w:r>
          </w:p>
        </w:tc>
        <w:tc>
          <w:tcPr>
            <w:tcW w:w="968"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90" w:type="dxa"/>
            <w:vAlign w:val="center"/>
          </w:tcPr>
          <w:p>
            <w:pPr>
              <w:pStyle w:val="Other|1"/>
              <w:spacing w:line="240" w:lineRule="auto"/>
              <w:ind w:left="0" w:firstLine="0" w:leftChars="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78"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72" w:type="dxa"/>
            <w:vAlign w:val="center"/>
          </w:tcPr>
          <w:p>
            <w:pPr>
              <w:pStyle w:val="Other|1"/>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1079.30</w:t>
            </w:r>
          </w:p>
        </w:tc>
        <w:tc>
          <w:tcPr>
            <w:tcW w:w="91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11"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859"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1094" w:type="dxa"/>
            <w:gridSpan w:val="2"/>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37" w:type="dxa"/>
            <w:vAlign w:val="center"/>
          </w:tcPr>
          <w:p>
            <w:pPr>
              <w:spacing w:line="240" w:lineRule="auto"/>
              <w:ind w:firstLine="0" w:firstLineChars="0"/>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c>
          <w:tcPr>
            <w:tcW w:w="989" w:type="dxa"/>
            <w:vAlign w:val="center"/>
          </w:tcPr>
          <w:p>
            <w:pPr>
              <w:spacing w:line="240" w:lineRule="auto"/>
              <w:jc w:val="right"/>
              <w:rPr>
                <w:rFonts w:eastAsia="宋体" w:hint="eastAsia"/>
                <w:vertAlign w:val="baseline"/>
                <w:lang w:val="en-US" w:eastAsia="zh-CN"/>
              </w:rPr>
            </w:pPr>
            <w:r>
              <w:rPr>
                <w:rFonts w:ascii="Times New Roman" w:hAnsi="Times New Roman" w:cs="Times New Roman" w:hint="eastAsia"/>
                <w:b/>
                <w:bCs/>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cantSplit/>
        </w:trPr>
        <w:tc>
          <w:tcPr>
            <w:tcW w:w="15557" w:type="dxa"/>
            <w:gridSpan w:val="16"/>
            <w:tcBorders>
              <w:left w:val="nil"/>
              <w:bottom w:val="nil"/>
              <w:right w:val="nil"/>
            </w:tcBorders>
          </w:tcPr>
          <w:p>
            <w:pPr>
              <w:pStyle w:val="Tablecaption|1"/>
              <w:jc w:val="left"/>
              <w:rPr>
                <w:rFonts w:eastAsia="宋体" w:hint="eastAsia"/>
                <w:vertAlign w:val="baseline"/>
                <w:lang w:val="en-US" w:eastAsia="zh-CN"/>
              </w:rPr>
            </w:pPr>
            <w:r>
              <w:t xml:space="preserve">注：本报表金额单位转换时可能存在四舍五入尾数误差。</w:t>
            </w:r>
          </w:p>
        </w:tc>
      </w:tr>
    </w:tbl>
    <w:p>
      <w:pPr>
        <w:tabs>
          <w:tab w:val="left" w:pos="859"/>
        </w:tabs>
        <w:jc w:val="both"/>
        <w:rPr>
          <w:rFonts w:eastAsia="宋体" w:hint="eastAsia"/>
          <w:lang w:val="en-US" w:eastAsia="zh-CN"/>
        </w:rPr>
      </w:pPr>
    </w:p>
    <w:p>
      <w:pPr>
        <w:tabs>
          <w:tab w:val="left" w:pos="859"/>
        </w:tabs>
        <w:jc w:val="center"/>
        <w:rPr>
          <w:rFonts w:eastAsia="宋体" w:hint="eastAsia"/>
          <w:lang w:val="en-US" w:eastAsia="zh-CN"/>
        </w:rPr>
      </w:pPr>
    </w:p>
    <w:p>
      <w:pPr>
        <w:tabs>
          <w:tab w:val="left" w:pos="859"/>
        </w:tabs>
        <w:jc w:val="both"/>
        <w:rPr>
          <w:rFonts w:eastAsia="宋体" w:hint="eastAsia"/>
          <w:lang w:val="en-US" w:eastAsia="zh-CN"/>
        </w:rPr>
      </w:pPr>
    </w:p>
    <w:p>
      <w:pPr>
        <w:spacing w:line="1" w:lineRule="exact"/>
        <w:jc w:val="left"/>
        <w:rPr>
          <w:lang w:eastAsia="zh-CN"/>
        </w:rPr>
        <w:sectPr>
          <w:headerReference w:type="default" r:id="rId18"/>
          <w:footerReference w:type="default" r:id="rId19"/>
          <w:pgSz w:w="16840" w:h="11900" w:orient="landscape"/>
          <w:pgMar w:top="2709" w:right="764" w:bottom="2709" w:left="735" w:header="2281"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2|1"/>
        <w:keepNext/>
        <w:keepLines/>
        <w:spacing w:after="240"/>
        <w:jc w:val="center"/>
      </w:pPr>
      <w:bookmarkStart w:id="19" w:name="bookmark42"/>
      <w:bookmarkStart w:id="20" w:name="bookmark41"/>
      <w:bookmarkStart w:id="21" w:name="bookmark43"/>
      <w:r>
        <w:t xml:space="preserve">支出总体情况表</w:t>
      </w:r>
      <w:bookmarkEnd w:id="19"/>
      <w:bookmarkEnd w:id="20"/>
      <w:bookmarkEnd w:id="21"/>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1934"/>
        <w:gridCol w:w="2390"/>
        <w:gridCol w:w="2280"/>
        <w:gridCol w:w="2299"/>
        <w:gridCol w:w="2222"/>
        <w:gridCol w:w="2371"/>
      </w:tblGrid>
      <w:tr>
        <w:tblPrEx>
          <w:tblW w:w="0" w:type="auto"/>
          <w:tblInd w:w="0" w:type="dxa"/>
          <w:tblLayout w:type="fixed"/>
          <w:tblCellMar>
            <w:top w:w="0" w:type="dxa"/>
            <w:left w:w="10" w:type="dxa"/>
            <w:bottom w:w="0" w:type="dxa"/>
            <w:right w:w="10" w:type="dxa"/>
          </w:tblCellMar>
        </w:tblPrEx>
        <w:trPr>
          <w:cantSplit/>
          <w:trHeight w:hRule="exact" w:val="346"/>
        </w:trPr>
        <w:tc>
          <w:tcPr>
            <w:tcW w:w="12968" w:type="dxa"/>
            <w:gridSpan w:val="6"/>
            <w:shd w:val="clear" w:color="auto" w:fill="FFFFFF"/>
          </w:tcPr>
          <w:p>
            <w:pPr>
              <w:pStyle w:val="Other|1"/>
              <w:spacing w:line="240" w:lineRule="auto"/>
              <w:ind w:firstLine="0"/>
              <w:jc w:val="left"/>
              <w:rPr>
                <w:sz w:val="17"/>
                <w:szCs w:val="17"/>
              </w:rPr>
            </w:pPr>
            <w:r>
              <w:rPr>
                <w:sz w:val="17"/>
                <w:szCs w:val="17"/>
              </w:rPr>
              <w:t xml:space="preserve">单位名称：</w:t>
            </w:r>
            <w:r>
              <w:rPr>
                <w:rFonts w:hint="eastAsia"/>
                <w:sz w:val="17"/>
                <w:szCs w:val="17"/>
                <w:lang w:eastAsia="zh-CN"/>
              </w:rPr>
              <w:t xml:space="preserve">环江毛南族自治县中医医院</w:t>
            </w:r>
          </w:p>
        </w:tc>
        <w:tc>
          <w:tcPr>
            <w:tcW w:w="2371" w:type="dxa"/>
            <w:shd w:val="clear" w:color="auto" w:fill="FFFFFF"/>
          </w:tcPr>
          <w:p>
            <w:pPr>
              <w:pStyle w:val="Other|1"/>
              <w:spacing w:line="240" w:lineRule="auto"/>
              <w:ind w:firstLine="1190" w:firstLineChars="700"/>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科目编码</w:t>
            </w:r>
          </w:p>
        </w:tc>
        <w:tc>
          <w:tcPr>
            <w:tcW w:w="1934"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left"/>
              <w:rPr>
                <w:sz w:val="17"/>
                <w:szCs w:val="17"/>
              </w:rPr>
            </w:pPr>
            <w:r>
              <w:rPr>
                <w:sz w:val="17"/>
                <w:szCs w:val="17"/>
              </w:rPr>
              <w:t xml:space="preserve">部门（单位）代码</w:t>
            </w:r>
          </w:p>
        </w:tc>
        <w:tc>
          <w:tcPr>
            <w:tcW w:w="2390" w:type="dxa"/>
            <w:tcBorders>
              <w:top w:val="single" w:sz="4" w:space="0" w:color="auto"/>
              <w:left w:val="single" w:sz="4" w:space="0" w:color="auto"/>
              <w:bottom w:val="single" w:sz="4" w:space="0" w:color="auto"/>
            </w:tcBorders>
            <w:shd w:val="clear" w:color="auto" w:fill="FFFFFF"/>
            <w:vAlign w:val="center"/>
          </w:tcPr>
          <w:p>
            <w:pPr>
              <w:pStyle w:val="Other|1"/>
              <w:spacing w:after="120" w:line="240" w:lineRule="auto"/>
              <w:ind w:firstLine="0"/>
              <w:jc w:val="left"/>
              <w:rPr>
                <w:sz w:val="17"/>
                <w:szCs w:val="17"/>
              </w:rPr>
            </w:pPr>
            <w:r>
              <w:rPr>
                <w:sz w:val="17"/>
                <w:szCs w:val="17"/>
              </w:rPr>
              <w:t xml:space="preserve">部门（单位）名称</w:t>
            </w:r>
          </w:p>
          <w:p>
            <w:pPr>
              <w:pStyle w:val="Other|1"/>
              <w:spacing w:line="240" w:lineRule="auto"/>
              <w:ind w:firstLine="0"/>
              <w:jc w:val="left"/>
              <w:rPr>
                <w:sz w:val="17"/>
                <w:szCs w:val="17"/>
              </w:rPr>
            </w:pPr>
            <w:r>
              <w:rPr>
                <w:sz w:val="17"/>
                <w:szCs w:val="17"/>
              </w:rPr>
              <w:t xml:space="preserve">（功能分类科目名称）</w:t>
            </w:r>
          </w:p>
        </w:tc>
        <w:tc>
          <w:tcPr>
            <w:tcW w:w="228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合计</w:t>
            </w:r>
          </w:p>
        </w:tc>
        <w:tc>
          <w:tcPr>
            <w:tcW w:w="229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基本支出</w:t>
            </w:r>
          </w:p>
        </w:tc>
        <w:tc>
          <w:tcPr>
            <w:tcW w:w="2222"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项目支出</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结转下年支出</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合计</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1114.89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1079.30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402018</w:t>
            </w: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1114.89</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35.59</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1079.30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2012999</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其他群众团体事务支出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0.42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2080505</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机关事业单位基本养老保险缴费支出</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5.32</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5.32</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2100201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综合医院</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1104.46</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25.16</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1079.30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2210201</w:t>
            </w:r>
          </w:p>
        </w:tc>
        <w:tc>
          <w:tcPr>
            <w:tcW w:w="1934"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p>
        </w:tc>
        <w:tc>
          <w:tcPr>
            <w:tcW w:w="239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住房公积金</w:t>
            </w:r>
          </w:p>
        </w:tc>
        <w:tc>
          <w:tcPr>
            <w:tcW w:w="228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4.68</w:t>
            </w:r>
          </w:p>
        </w:tc>
        <w:tc>
          <w:tcPr>
            <w:tcW w:w="2299"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4.68</w:t>
            </w:r>
          </w:p>
        </w:tc>
        <w:tc>
          <w:tcPr>
            <w:tcW w:w="2222"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0.00</w:t>
            </w:r>
          </w:p>
        </w:tc>
        <w:tc>
          <w:tcPr>
            <w:tcW w:w="237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Times New Roman" w:eastAsia="Times New Roman" w:hAnsi="Times New Roman" w:cs="Times New Roman" w:hint="default"/>
                <w:b/>
                <w:bCs/>
                <w:sz w:val="17"/>
                <w:szCs w:val="17"/>
                <w:lang w:val="en-US" w:eastAsia="zh-CN"/>
              </w:rPr>
            </w:pPr>
            <w:r>
              <w:rPr>
                <w:rFonts w:ascii="Times New Roman" w:eastAsia="Times New Roman" w:hAnsi="Times New Roman" w:cs="Times New Roman" w:hint="eastAsia"/>
                <w:b/>
                <w:bCs/>
                <w:sz w:val="17"/>
                <w:szCs w:val="17"/>
                <w:lang w:val="en-US" w:eastAsia="zh-CN"/>
              </w:rPr>
              <w:t xml:space="preserve">0</w:t>
            </w:r>
          </w:p>
        </w:tc>
      </w:tr>
    </w:tbl>
    <w:p>
      <w:pPr>
        <w:pStyle w:val="Tablecaption|1"/>
        <w:ind w:left="672"/>
        <w:jc w:val="left"/>
      </w:pPr>
      <w:r>
        <w:t xml:space="preserve">注：本报表金额单位转换时可能存在四舍五入尾数误差。</w:t>
      </w:r>
      <w:r>
        <w:br w:type="page"/>
      </w:r>
    </w:p>
    <w:p>
      <w:pPr>
        <w:pStyle w:val="Heading#2|1"/>
        <w:keepNext/>
        <w:keepLines/>
        <w:spacing w:after="240"/>
        <w:jc w:val="center"/>
      </w:pPr>
      <w:bookmarkStart w:id="22" w:name="bookmark44"/>
      <w:bookmarkStart w:id="23" w:name="bookmark46"/>
      <w:bookmarkStart w:id="24" w:name="bookmark45"/>
      <w:r>
        <w:t xml:space="preserve">财政拨款收支总体情况表</w:t>
      </w:r>
      <w:bookmarkEnd w:id="22"/>
      <w:bookmarkEnd w:id="23"/>
      <w:bookmarkEnd w:id="24"/>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2885"/>
        <w:gridCol w:w="955"/>
        <w:gridCol w:w="3830"/>
        <w:gridCol w:w="3826"/>
        <w:gridCol w:w="3845"/>
        <w:gridCol w:w="1"/>
      </w:tblGrid>
      <w:tr>
        <w:tblPrEx>
          <w:tblW w:w="0" w:type="auto"/>
          <w:tblInd w:w="0" w:type="dxa"/>
          <w:tblLayout w:type="fixed"/>
          <w:tblCellMar>
            <w:top w:w="0" w:type="dxa"/>
            <w:left w:w="10" w:type="dxa"/>
            <w:bottom w:w="0" w:type="dxa"/>
            <w:right w:w="10" w:type="dxa"/>
          </w:tblCellMar>
        </w:tblPrEx>
        <w:trPr>
          <w:gridAfter w:val="1"/>
          <w:wAfter w:w="1" w:type="dxa"/>
          <w:cantSplit/>
          <w:trHeight w:hRule="exact" w:val="346"/>
        </w:trPr>
        <w:tc>
          <w:tcPr>
            <w:tcW w:w="11496" w:type="dxa"/>
            <w:gridSpan w:val="4"/>
            <w:shd w:val="clear" w:color="auto" w:fill="FFFFFF"/>
          </w:tcPr>
          <w:p>
            <w:pPr>
              <w:pStyle w:val="Other|1"/>
              <w:spacing w:line="240" w:lineRule="auto"/>
              <w:ind w:firstLine="0"/>
              <w:jc w:val="left"/>
              <w:rPr>
                <w:rFonts w:hint="default"/>
                <w:sz w:val="17"/>
                <w:szCs w:val="17"/>
                <w:lang w:val="en-US"/>
              </w:rPr>
            </w:pPr>
            <w:r>
              <w:rPr>
                <w:sz w:val="17"/>
                <w:szCs w:val="17"/>
              </w:rPr>
              <w:t xml:space="preserve">单位名称：</w:t>
            </w:r>
            <w:r>
              <w:rPr>
                <w:rFonts w:hint="eastAsia"/>
                <w:sz w:val="17"/>
                <w:szCs w:val="17"/>
                <w:lang w:eastAsia="zh-CN"/>
              </w:rPr>
              <w:t xml:space="preserve">环江毛南族自治县中医医院</w:t>
            </w:r>
          </w:p>
        </w:tc>
        <w:tc>
          <w:tcPr>
            <w:tcW w:w="3845" w:type="dxa"/>
            <w:shd w:val="clear" w:color="auto" w:fill="FFFFFF"/>
          </w:tcPr>
          <w:p>
            <w:pPr>
              <w:pStyle w:val="Other|1"/>
              <w:spacing w:line="240" w:lineRule="auto"/>
              <w:jc w:val="left"/>
              <w:rPr>
                <w:sz w:val="17"/>
                <w:szCs w:val="17"/>
              </w:rPr>
            </w:pPr>
            <w:r>
              <w:rPr>
                <w:sz w:val="17"/>
                <w:szCs w:val="17"/>
              </w:rPr>
              <w:t xml:space="preserve">单位：万元</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2885" w:type="dxa"/>
            <w:tcBorders>
              <w:top w:val="single" w:sz="4" w:space="0" w:color="auto"/>
              <w:left w:val="single" w:sz="4" w:space="0" w:color="auto"/>
            </w:tcBorders>
            <w:shd w:val="clear" w:color="auto" w:fill="FFFFFF"/>
          </w:tcPr>
          <w:p>
            <w:pPr>
              <w:jc w:val="left"/>
              <w:rPr>
                <w:sz w:val="10"/>
                <w:szCs w:val="10"/>
              </w:rPr>
            </w:pPr>
          </w:p>
        </w:tc>
        <w:tc>
          <w:tcPr>
            <w:tcW w:w="955" w:type="dxa"/>
            <w:tcBorders>
              <w:top w:val="single" w:sz="4" w:space="0" w:color="auto"/>
            </w:tcBorders>
            <w:shd w:val="clear" w:color="auto" w:fill="FFFFFF"/>
            <w:vAlign w:val="center"/>
          </w:tcPr>
          <w:p>
            <w:pPr>
              <w:pStyle w:val="Other|1"/>
              <w:spacing w:line="240" w:lineRule="auto"/>
              <w:ind w:firstLine="0"/>
              <w:jc w:val="left"/>
              <w:rPr>
                <w:sz w:val="17"/>
                <w:szCs w:val="17"/>
              </w:rPr>
            </w:pPr>
            <w:r>
              <w:rPr>
                <w:sz w:val="17"/>
                <w:szCs w:val="17"/>
              </w:rPr>
              <w:t xml:space="preserve">收</w:t>
            </w:r>
          </w:p>
        </w:tc>
        <w:tc>
          <w:tcPr>
            <w:tcW w:w="3830" w:type="dxa"/>
            <w:tcBorders>
              <w:top w:val="single" w:sz="4" w:space="0" w:color="auto"/>
            </w:tcBorders>
            <w:shd w:val="clear" w:color="auto" w:fill="FFFFFF"/>
            <w:vAlign w:val="center"/>
          </w:tcPr>
          <w:p>
            <w:pPr>
              <w:pStyle w:val="Other|1"/>
              <w:spacing w:line="240" w:lineRule="auto"/>
              <w:ind w:firstLine="340"/>
              <w:jc w:val="left"/>
              <w:rPr>
                <w:sz w:val="17"/>
                <w:szCs w:val="17"/>
              </w:rPr>
            </w:pPr>
            <w:r>
              <w:rPr>
                <w:sz w:val="17"/>
                <w:szCs w:val="17"/>
              </w:rPr>
              <w:t xml:space="preserve">入</w:t>
            </w:r>
          </w:p>
        </w:tc>
        <w:tc>
          <w:tcPr>
            <w:tcW w:w="3826" w:type="dxa"/>
            <w:tcBorders>
              <w:top w:val="single" w:sz="4" w:space="0" w:color="auto"/>
              <w:left w:val="single" w:sz="4" w:space="0" w:color="auto"/>
            </w:tcBorders>
            <w:shd w:val="clear" w:color="auto" w:fill="FFFFFF"/>
            <w:vAlign w:val="center"/>
          </w:tcPr>
          <w:p>
            <w:pPr>
              <w:pStyle w:val="Other|1"/>
              <w:spacing w:line="240" w:lineRule="auto"/>
              <w:ind w:right="340" w:firstLine="2720" w:firstLineChars="1600"/>
              <w:jc w:val="left"/>
              <w:rPr>
                <w:sz w:val="17"/>
                <w:szCs w:val="17"/>
              </w:rPr>
            </w:pPr>
            <w:r>
              <w:rPr>
                <w:sz w:val="17"/>
                <w:szCs w:val="17"/>
              </w:rPr>
              <w:t xml:space="preserve">支</w:t>
            </w:r>
          </w:p>
        </w:tc>
        <w:tc>
          <w:tcPr>
            <w:tcW w:w="3845" w:type="dxa"/>
            <w:tcBorders>
              <w:top w:val="single" w:sz="4" w:space="0" w:color="auto"/>
              <w:right w:val="single" w:sz="4" w:space="0" w:color="auto"/>
            </w:tcBorders>
            <w:shd w:val="clear" w:color="auto" w:fill="FFFFFF"/>
            <w:vAlign w:val="center"/>
          </w:tcPr>
          <w:p>
            <w:pPr>
              <w:pStyle w:val="Other|1"/>
              <w:spacing w:line="240" w:lineRule="auto"/>
              <w:ind w:firstLine="935" w:firstLineChars="550"/>
              <w:jc w:val="left"/>
              <w:rPr>
                <w:sz w:val="17"/>
                <w:szCs w:val="17"/>
              </w:rPr>
            </w:pPr>
            <w:r>
              <w:rPr>
                <w:sz w:val="17"/>
                <w:szCs w:val="17"/>
              </w:rPr>
              <w:t xml:space="preserve">出</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51"/>
        </w:trPr>
        <w:tc>
          <w:tcPr>
            <w:tcW w:w="3840" w:type="dxa"/>
            <w:gridSpan w:val="2"/>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项目</w:t>
            </w:r>
          </w:p>
        </w:tc>
        <w:tc>
          <w:tcPr>
            <w:tcW w:w="3830" w:type="dxa"/>
            <w:tcBorders>
              <w:top w:val="single" w:sz="4" w:space="0" w:color="auto"/>
              <w:lef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c>
          <w:tcPr>
            <w:tcW w:w="3826" w:type="dxa"/>
            <w:tcBorders>
              <w:top w:val="single" w:sz="4" w:space="0" w:color="auto"/>
              <w:left w:val="single" w:sz="4" w:space="0" w:color="auto"/>
            </w:tcBorders>
            <w:shd w:val="clear" w:color="auto" w:fill="FFFFFF"/>
            <w:vAlign w:val="center"/>
          </w:tcPr>
          <w:p>
            <w:pPr>
              <w:pStyle w:val="Other|1"/>
              <w:tabs>
                <w:tab w:val="left" w:pos="1034"/>
              </w:tabs>
              <w:spacing w:line="240" w:lineRule="auto"/>
              <w:ind w:firstLine="540"/>
              <w:jc w:val="center"/>
              <w:rPr>
                <w:sz w:val="17"/>
                <w:szCs w:val="17"/>
              </w:rPr>
            </w:pPr>
            <w:r>
              <w:rPr>
                <w:sz w:val="17"/>
                <w:szCs w:val="17"/>
              </w:rPr>
              <w:t xml:space="preserve">项</w:t>
            </w:r>
            <w:r>
              <w:rPr>
                <w:sz w:val="17"/>
                <w:szCs w:val="17"/>
              </w:rPr>
              <w:tab/>
            </w:r>
            <w:r>
              <w:rPr>
                <w:sz w:val="17"/>
                <w:szCs w:val="17"/>
              </w:rPr>
              <w:t xml:space="preserve">目（按支出功能科目分类）</w:t>
            </w:r>
          </w:p>
        </w:tc>
        <w:tc>
          <w:tcPr>
            <w:tcW w:w="3845" w:type="dxa"/>
            <w:tcBorders>
              <w:top w:val="single" w:sz="4" w:space="0" w:color="auto"/>
              <w:left w:val="single" w:sz="4" w:space="0" w:color="auto"/>
              <w:right w:val="single" w:sz="4" w:space="0" w:color="auto"/>
            </w:tcBorders>
            <w:shd w:val="clear" w:color="auto" w:fill="FFFFFF"/>
            <w:vAlign w:val="center"/>
          </w:tcPr>
          <w:p>
            <w:pPr>
              <w:pStyle w:val="Other|1"/>
              <w:spacing w:line="240" w:lineRule="auto"/>
              <w:ind w:firstLine="0"/>
              <w:jc w:val="center"/>
              <w:rPr>
                <w:sz w:val="17"/>
                <w:szCs w:val="17"/>
              </w:rPr>
            </w:pPr>
            <w:r>
              <w:rPr>
                <w:sz w:val="17"/>
                <w:szCs w:val="17"/>
              </w:rPr>
              <w:t xml:space="preserve">预算数</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35.59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一、一般公共服务支出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0.42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二、外交支出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35.59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二、政府性基金预算拨款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四、公共安全支出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五、教育支出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六、科学技术支出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三、国有资本经营预算拨款</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七、文化旅游体育与传媒支出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1、上级补助</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八、社会保障和就业支出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5.32</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2、本级</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九、卫生健康支出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25.16</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十、节能环保支出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十一、城乡社区支出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十二、农林水支出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十三、交通运输支出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十四、资源勘探工业信息等支出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十五、商业服务业等支出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十六、金融支出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十七、援助其他地区支出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十八、自然资源海洋气象等支出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十九、住房保障支出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4.68</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二十、粮油物资储备支出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二十一、国有资本经营预算支出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二十二、灾害防治及应急管理支出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二十三、其他支出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二十四、债务还本支出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二十五、债务付息支出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二十六、债务发行费用支出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本年收入合计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35.59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本年支出合计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35.59</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上年结转结余</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结转下年支出</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0.00</w:t>
            </w:r>
          </w:p>
        </w:tc>
      </w:tr>
      <w:tr>
        <w:tblPrEx>
          <w:tblW w:w="0" w:type="auto"/>
          <w:tblInd w:w="0" w:type="dxa"/>
          <w:tblLayout w:type="fixed"/>
          <w:tblCellMar>
            <w:top w:w="0" w:type="dxa"/>
            <w:left w:w="10" w:type="dxa"/>
            <w:bottom w:w="0" w:type="dxa"/>
            <w:right w:w="10" w:type="dxa"/>
          </w:tblCellMar>
        </w:tblPrEx>
        <w:trPr>
          <w:gridAfter w:val="1"/>
          <w:wAfter w:w="1" w:type="dxa"/>
          <w:cantSplit/>
          <w:trHeight w:hRule="exact" w:val="437"/>
        </w:trPr>
        <w:tc>
          <w:tcPr>
            <w:tcW w:w="3840" w:type="dxa"/>
            <w:gridSpan w:val="2"/>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收入总计</w:t>
            </w:r>
          </w:p>
        </w:tc>
        <w:tc>
          <w:tcPr>
            <w:tcW w:w="383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35.59</w:t>
            </w:r>
          </w:p>
        </w:tc>
        <w:tc>
          <w:tcPr>
            <w:tcW w:w="3826"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00"/>
              <w:jc w:val="left"/>
              <w:rPr>
                <w:rFonts w:hint="default"/>
                <w:sz w:val="17"/>
                <w:szCs w:val="17"/>
                <w:lang w:val="en-US" w:eastAsia="zh-CN"/>
              </w:rPr>
            </w:pPr>
            <w:r>
              <w:rPr>
                <w:rFonts w:hint="eastAsia"/>
                <w:sz w:val="17"/>
                <w:szCs w:val="17"/>
                <w:lang w:val="en-US" w:eastAsia="zh-CN"/>
              </w:rPr>
              <w:t xml:space="preserve">支出总计</w:t>
            </w:r>
          </w:p>
        </w:tc>
        <w:tc>
          <w:tcPr>
            <w:tcW w:w="3845"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200"/>
              <w:jc w:val="right"/>
              <w:rPr>
                <w:rFonts w:hint="default"/>
                <w:sz w:val="17"/>
                <w:szCs w:val="17"/>
                <w:lang w:val="en-US" w:eastAsia="zh-CN"/>
              </w:rPr>
            </w:pPr>
            <w:r>
              <w:rPr>
                <w:rFonts w:hint="eastAsia"/>
                <w:sz w:val="17"/>
                <w:szCs w:val="17"/>
                <w:lang w:val="en-US" w:eastAsia="zh-CN"/>
              </w:rPr>
              <w:t xml:space="preserve">35.59</w:t>
            </w:r>
          </w:p>
        </w:tc>
      </w:tr>
      <w:tr>
        <w:tblPrEx>
          <w:tblW w:w="0" w:type="auto"/>
          <w:tblInd w:w="0" w:type="dxa"/>
          <w:tblLayout w:type="fixed"/>
          <w:tblCellMar>
            <w:top w:w="0" w:type="dxa"/>
            <w:left w:w="10" w:type="dxa"/>
            <w:bottom w:w="0" w:type="dxa"/>
            <w:right w:w="10" w:type="dxa"/>
          </w:tblCellMar>
        </w:tblPrEx>
        <w:trPr>
          <w:cantSplit/>
          <w:trHeight w:hRule="exact" w:val="352"/>
        </w:trPr>
        <w:tc>
          <w:tcPr>
            <w:tcW w:w="15342" w:type="dxa"/>
            <w:gridSpan w:val="6"/>
            <w:tcBorders>
              <w:top w:val="single" w:sz="4" w:space="0" w:color="auto"/>
            </w:tcBorders>
            <w:shd w:val="clear" w:color="auto" w:fill="FFFFFF"/>
          </w:tcPr>
          <w:p>
            <w:pPr>
              <w:jc w:val="left"/>
              <w:rPr>
                <w:sz w:val="10"/>
                <w:szCs w:val="10"/>
                <w:lang w:eastAsia="zh-CN"/>
              </w:rPr>
            </w:pPr>
            <w:r>
              <w:rPr>
                <w:sz w:val="17"/>
                <w:szCs w:val="17"/>
              </w:rPr>
              <w:t xml:space="preserve">注：表中功能分类科目，根据各部门实际预算编制情况编列。</w:t>
            </w:r>
          </w:p>
        </w:tc>
      </w:tr>
      <w:tr>
        <w:tblPrEx>
          <w:tblW w:w="0" w:type="auto"/>
          <w:tblInd w:w="0" w:type="dxa"/>
          <w:tblLayout w:type="fixed"/>
          <w:tblCellMar>
            <w:top w:w="0" w:type="dxa"/>
            <w:left w:w="10" w:type="dxa"/>
            <w:bottom w:w="0" w:type="dxa"/>
            <w:right w:w="10" w:type="dxa"/>
          </w:tblCellMar>
        </w:tblPrEx>
        <w:trPr>
          <w:cantSplit/>
          <w:trHeight w:hRule="exact" w:val="274"/>
        </w:trPr>
        <w:tc>
          <w:tcPr>
            <w:tcW w:w="15342" w:type="dxa"/>
            <w:gridSpan w:val="6"/>
            <w:shd w:val="clear" w:color="auto" w:fill="FFFFFF"/>
            <w:vAlign w:val="bottom"/>
          </w:tcPr>
          <w:p>
            <w:pPr>
              <w:jc w:val="left"/>
              <w:rPr>
                <w:sz w:val="10"/>
                <w:szCs w:val="10"/>
                <w:lang w:eastAsia="zh-CN"/>
              </w:rPr>
            </w:pPr>
            <w:r>
              <w:rPr>
                <w:sz w:val="17"/>
                <w:szCs w:val="17"/>
              </w:rPr>
              <w:t xml:space="preserve">报表金额单位转换时可能存在四舍五入尾数误差。</w:t>
            </w:r>
          </w:p>
        </w:tc>
      </w:tr>
    </w:tbl>
    <w:p>
      <w:pPr>
        <w:jc w:val="left"/>
        <w:rPr>
          <w:lang w:eastAsia="zh-CN"/>
        </w:rPr>
      </w:pPr>
      <w:r>
        <w:br w:type="page"/>
      </w:r>
    </w:p>
    <w:p>
      <w:pPr>
        <w:jc w:val="center"/>
        <w:rPr>
          <w:rFonts w:hint="eastAsia"/>
          <w:lang w:eastAsia="zh-CN"/>
        </w:rPr>
      </w:pPr>
      <w:r>
        <w:rPr>
          <w:rFonts w:hint="eastAsia"/>
          <w:lang w:eastAsia="zh-CN"/>
        </w:rPr>
        <w:t xml:space="preserve">一般公共预算支出情况表</w:t>
      </w:r>
    </w:p>
    <w:p>
      <w:pPr>
        <w:jc w:val="center"/>
        <w:rPr>
          <w:rFonts w:hint="eastAsia"/>
          <w:lang w:eastAsia="zh-CN"/>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1715"/>
        <w:gridCol w:w="1676"/>
        <w:gridCol w:w="1662"/>
        <w:gridCol w:w="1717"/>
        <w:gridCol w:w="1879"/>
        <w:gridCol w:w="1729"/>
        <w:gridCol w:w="1718"/>
        <w:gridCol w:w="72"/>
        <w:gridCol w:w="1694"/>
        <w:gridCol w:w="169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2096" w:type="dxa"/>
            <w:gridSpan w:val="7"/>
            <w:tcBorders>
              <w:top w:val="nil"/>
              <w:left w:val="nil"/>
              <w:right w:val="nil"/>
            </w:tcBorders>
          </w:tcPr>
          <w:p>
            <w:pPr>
              <w:jc w:val="left"/>
              <w:rPr>
                <w:rFonts w:hint="eastAsia"/>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环江毛南族自治县中医医院</w:t>
            </w:r>
          </w:p>
        </w:tc>
        <w:tc>
          <w:tcPr>
            <w:tcW w:w="3461" w:type="dxa"/>
            <w:gridSpan w:val="3"/>
            <w:tcBorders>
              <w:top w:val="nil"/>
              <w:left w:val="nil"/>
              <w:right w:val="nil"/>
            </w:tcBorders>
          </w:tcPr>
          <w:p>
            <w:pPr>
              <w:ind w:firstLine="1760" w:firstLineChars="1100"/>
              <w:jc w:val="left"/>
              <w:rPr>
                <w:rFonts w:hint="eastAsia"/>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val="restart"/>
          </w:tcPr>
          <w:p>
            <w:pPr>
              <w:jc w:val="center"/>
              <w:rPr>
                <w:rFonts w:hint="eastAsia"/>
                <w:vertAlign w:val="baseline"/>
                <w:lang w:eastAsia="zh-CN"/>
              </w:rPr>
            </w:pPr>
            <w:r>
              <w:rPr>
                <w:sz w:val="17"/>
                <w:szCs w:val="17"/>
              </w:rPr>
              <w:t xml:space="preserve">科目编码</w:t>
            </w:r>
          </w:p>
        </w:tc>
        <w:tc>
          <w:tcPr>
            <w:tcW w:w="1676" w:type="dxa"/>
            <w:vMerge w:val="restart"/>
          </w:tcPr>
          <w:p>
            <w:pPr>
              <w:jc w:val="center"/>
              <w:rPr>
                <w:rFonts w:hint="eastAsia"/>
                <w:vertAlign w:val="baseline"/>
                <w:lang w:eastAsia="zh-CN"/>
              </w:rPr>
            </w:pPr>
            <w:r>
              <w:rPr>
                <w:sz w:val="17"/>
                <w:szCs w:val="17"/>
              </w:rPr>
              <w:t xml:space="preserve">部门（单位）代码</w:t>
            </w:r>
          </w:p>
        </w:tc>
        <w:tc>
          <w:tcPr>
            <w:tcW w:w="1662" w:type="dxa"/>
            <w:vMerge w:val="restart"/>
          </w:tcPr>
          <w:p>
            <w:pPr>
              <w:pStyle w:val="Other|1"/>
              <w:spacing w:after="120" w:line="240" w:lineRule="auto"/>
              <w:ind w:firstLine="0"/>
              <w:jc w:val="center"/>
              <w:rPr>
                <w:sz w:val="17"/>
                <w:szCs w:val="17"/>
              </w:rPr>
            </w:pPr>
            <w:r>
              <w:rPr>
                <w:sz w:val="17"/>
                <w:szCs w:val="17"/>
              </w:rPr>
              <w:t xml:space="preserve">部门（单位）名称</w:t>
            </w:r>
          </w:p>
          <w:p>
            <w:pPr>
              <w:jc w:val="center"/>
              <w:rPr>
                <w:rFonts w:hint="eastAsia"/>
                <w:vertAlign w:val="baseline"/>
                <w:lang w:eastAsia="zh-CN"/>
              </w:rPr>
            </w:pPr>
            <w:r>
              <w:rPr>
                <w:sz w:val="17"/>
                <w:szCs w:val="17"/>
              </w:rPr>
              <w:t xml:space="preserve">（功能分类科目名称）</w:t>
            </w:r>
          </w:p>
        </w:tc>
        <w:tc>
          <w:tcPr>
            <w:tcW w:w="1717" w:type="dxa"/>
            <w:vMerge w:val="restart"/>
          </w:tcPr>
          <w:p>
            <w:pPr>
              <w:jc w:val="center"/>
              <w:rPr>
                <w:rFonts w:hint="eastAsia"/>
                <w:vertAlign w:val="baseline"/>
                <w:lang w:eastAsia="zh-CN"/>
              </w:rPr>
            </w:pPr>
            <w:r>
              <w:rPr>
                <w:sz w:val="17"/>
                <w:szCs w:val="17"/>
              </w:rPr>
              <w:t xml:space="preserve">合计</w:t>
            </w:r>
          </w:p>
        </w:tc>
        <w:tc>
          <w:tcPr>
            <w:tcW w:w="5398" w:type="dxa"/>
            <w:gridSpan w:val="4"/>
          </w:tcPr>
          <w:p>
            <w:pPr>
              <w:jc w:val="center"/>
              <w:rPr>
                <w:rFonts w:hint="eastAsia"/>
                <w:vertAlign w:val="baseline"/>
                <w:lang w:eastAsia="zh-CN"/>
              </w:rPr>
            </w:pPr>
            <w:r>
              <w:rPr>
                <w:sz w:val="17"/>
                <w:szCs w:val="17"/>
              </w:rPr>
              <w:t xml:space="preserve">基本支出</w:t>
            </w:r>
          </w:p>
        </w:tc>
        <w:tc>
          <w:tcPr>
            <w:tcW w:w="1694" w:type="dxa"/>
            <w:vMerge w:val="restart"/>
          </w:tcPr>
          <w:p>
            <w:pPr>
              <w:jc w:val="center"/>
              <w:rPr>
                <w:rFonts w:hint="eastAsia"/>
                <w:vertAlign w:val="baseline"/>
                <w:lang w:eastAsia="zh-CN"/>
              </w:rPr>
            </w:pPr>
            <w:r>
              <w:rPr>
                <w:sz w:val="17"/>
                <w:szCs w:val="17"/>
              </w:rPr>
              <w:t xml:space="preserve">项目支出</w:t>
            </w:r>
          </w:p>
        </w:tc>
        <w:tc>
          <w:tcPr>
            <w:tcW w:w="1695" w:type="dxa"/>
            <w:vMerge w:val="restart"/>
          </w:tcPr>
          <w:p>
            <w:pPr>
              <w:jc w:val="center"/>
              <w:rPr>
                <w:rFonts w:hint="eastAsia"/>
                <w:vertAlign w:val="baseline"/>
                <w:lang w:eastAsia="zh-CN"/>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Merge/>
          </w:tcPr>
          <w:p>
            <w:pPr>
              <w:jc w:val="center"/>
              <w:rPr>
                <w:rFonts w:hint="eastAsia"/>
                <w:vertAlign w:val="baseline"/>
                <w:lang w:eastAsia="zh-CN"/>
              </w:rPr>
            </w:pPr>
          </w:p>
        </w:tc>
        <w:tc>
          <w:tcPr>
            <w:tcW w:w="1676" w:type="dxa"/>
            <w:vMerge/>
          </w:tcPr>
          <w:p>
            <w:pPr>
              <w:jc w:val="center"/>
              <w:rPr>
                <w:rFonts w:hint="eastAsia"/>
                <w:vertAlign w:val="baseline"/>
                <w:lang w:eastAsia="zh-CN"/>
              </w:rPr>
            </w:pPr>
          </w:p>
        </w:tc>
        <w:tc>
          <w:tcPr>
            <w:tcW w:w="1662" w:type="dxa"/>
            <w:vMerge/>
          </w:tcPr>
          <w:p>
            <w:pPr>
              <w:jc w:val="center"/>
              <w:rPr>
                <w:rFonts w:hint="eastAsia"/>
                <w:vertAlign w:val="baseline"/>
                <w:lang w:eastAsia="zh-CN"/>
              </w:rPr>
            </w:pPr>
          </w:p>
        </w:tc>
        <w:tc>
          <w:tcPr>
            <w:tcW w:w="1717" w:type="dxa"/>
            <w:vMerge/>
          </w:tcPr>
          <w:p>
            <w:pPr>
              <w:jc w:val="center"/>
              <w:rPr>
                <w:rFonts w:hint="eastAsia"/>
                <w:vertAlign w:val="baseline"/>
                <w:lang w:eastAsia="zh-CN"/>
              </w:rPr>
            </w:pPr>
          </w:p>
        </w:tc>
        <w:tc>
          <w:tcPr>
            <w:tcW w:w="187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小计</w:t>
            </w:r>
          </w:p>
        </w:tc>
        <w:tc>
          <w:tcPr>
            <w:tcW w:w="1729" w:type="dxa"/>
            <w:vAlign w:val="center"/>
          </w:tcPr>
          <w:p>
            <w:pPr>
              <w:pStyle w:val="Other|1"/>
              <w:spacing w:line="240" w:lineRule="auto"/>
              <w:ind w:firstLine="0" w:firstLineChars="0"/>
              <w:jc w:val="center"/>
              <w:rPr>
                <w:rFonts w:hint="eastAsia"/>
                <w:vertAlign w:val="baseline"/>
                <w:lang w:eastAsia="zh-CN"/>
              </w:rPr>
            </w:pPr>
            <w:r>
              <w:rPr>
                <w:sz w:val="17"/>
                <w:szCs w:val="17"/>
              </w:rPr>
              <w:t xml:space="preserve">人员经费</w:t>
            </w:r>
          </w:p>
        </w:tc>
        <w:tc>
          <w:tcPr>
            <w:tcW w:w="1790" w:type="dxa"/>
            <w:gridSpan w:val="2"/>
            <w:vAlign w:val="center"/>
          </w:tcPr>
          <w:p>
            <w:pPr>
              <w:pStyle w:val="Other|1"/>
              <w:spacing w:line="240" w:lineRule="auto"/>
              <w:ind w:firstLine="440" w:firstLineChars="0"/>
              <w:jc w:val="center"/>
              <w:rPr>
                <w:rFonts w:hint="eastAsia"/>
                <w:vertAlign w:val="baseline"/>
                <w:lang w:eastAsia="zh-CN"/>
              </w:rPr>
            </w:pPr>
            <w:r>
              <w:rPr>
                <w:sz w:val="17"/>
                <w:szCs w:val="17"/>
              </w:rPr>
              <w:t xml:space="preserve">公用经费</w:t>
            </w:r>
          </w:p>
        </w:tc>
        <w:tc>
          <w:tcPr>
            <w:tcW w:w="1694" w:type="dxa"/>
            <w:vMerge/>
          </w:tcPr>
          <w:p>
            <w:pPr>
              <w:jc w:val="center"/>
              <w:rPr>
                <w:rFonts w:hint="eastAsia"/>
                <w:vertAlign w:val="baseline"/>
                <w:lang w:eastAsia="zh-CN"/>
              </w:rPr>
            </w:pPr>
          </w:p>
        </w:tc>
        <w:tc>
          <w:tcPr>
            <w:tcW w:w="1695" w:type="dxa"/>
            <w:vMerge/>
          </w:tcPr>
          <w:p>
            <w:pPr>
              <w:jc w:val="center"/>
              <w:rPr>
                <w:rFonts w:hint="eastAsia"/>
                <w:vertAlign w:val="baseline"/>
                <w:lang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jc w:val="center"/>
              <w:rPr>
                <w:rFonts w:hint="eastAsia"/>
                <w:vertAlign w:val="baseline"/>
                <w:lang w:eastAsia="zh-CN"/>
              </w:rPr>
            </w:pPr>
          </w:p>
        </w:tc>
        <w:tc>
          <w:tcPr>
            <w:tcW w:w="1676" w:type="dxa"/>
            <w:vAlign w:val="center"/>
          </w:tcPr>
          <w:p>
            <w:pPr>
              <w:jc w:val="center"/>
              <w:rPr>
                <w:rFonts w:hint="eastAsia"/>
                <w:vertAlign w:val="baseline"/>
                <w:lang w:eastAsia="zh-CN"/>
              </w:rPr>
            </w:pPr>
          </w:p>
        </w:tc>
        <w:tc>
          <w:tcPr>
            <w:tcW w:w="1662" w:type="dxa"/>
            <w:vAlign w:val="center"/>
          </w:tcPr>
          <w:p>
            <w:pPr>
              <w:jc w:val="center"/>
              <w:rPr>
                <w:rFonts w:hint="eastAsia"/>
                <w:vertAlign w:val="baseline"/>
                <w:lang w:eastAsia="zh-CN"/>
              </w:rPr>
            </w:pPr>
          </w:p>
        </w:tc>
        <w:tc>
          <w:tcPr>
            <w:tcW w:w="1717"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1</w:t>
            </w:r>
          </w:p>
        </w:tc>
        <w:tc>
          <w:tcPr>
            <w:tcW w:w="187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2</w:t>
            </w:r>
          </w:p>
        </w:tc>
        <w:tc>
          <w:tcPr>
            <w:tcW w:w="1729" w:type="dxa"/>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3</w:t>
            </w:r>
          </w:p>
        </w:tc>
        <w:tc>
          <w:tcPr>
            <w:tcW w:w="1790" w:type="dxa"/>
            <w:gridSpan w:val="2"/>
            <w:vAlign w:val="center"/>
          </w:tcPr>
          <w:p>
            <w:pPr>
              <w:pStyle w:val="Other|1"/>
              <w:spacing w:line="240" w:lineRule="auto"/>
              <w:ind w:firstLine="0" w:firstLineChars="0"/>
              <w:jc w:val="center"/>
              <w:rPr>
                <w:rFonts w:hint="eastAsia"/>
                <w:vertAlign w:val="baseline"/>
                <w:lang w:eastAsia="zh-CN"/>
              </w:rPr>
            </w:pPr>
            <w:r>
              <w:rPr>
                <w:rFonts w:ascii="Times New Roman" w:eastAsia="Times New Roman" w:hAnsi="Times New Roman" w:cs="Times New Roman"/>
                <w:b/>
                <w:bCs/>
                <w:sz w:val="17"/>
                <w:szCs w:val="17"/>
              </w:rPr>
              <w:t xml:space="preserve">4</w:t>
            </w:r>
          </w:p>
        </w:tc>
        <w:tc>
          <w:tcPr>
            <w:tcW w:w="1694" w:type="dxa"/>
            <w:vAlign w:val="center"/>
          </w:tcPr>
          <w:p>
            <w:pPr>
              <w:pStyle w:val="Other|1"/>
              <w:spacing w:line="240" w:lineRule="auto"/>
              <w:ind w:firstLine="660" w:firstLineChars="0"/>
              <w:jc w:val="center"/>
              <w:rPr>
                <w:rFonts w:hint="eastAsia"/>
                <w:vertAlign w:val="baseline"/>
                <w:lang w:eastAsia="zh-CN"/>
              </w:rPr>
            </w:pPr>
            <w:r>
              <w:rPr>
                <w:rFonts w:ascii="Times New Roman" w:eastAsia="Times New Roman" w:hAnsi="Times New Roman" w:cs="Times New Roman"/>
                <w:b/>
                <w:bCs/>
                <w:sz w:val="17"/>
                <w:szCs w:val="17"/>
              </w:rPr>
              <w:t xml:space="preserve">5</w:t>
            </w:r>
          </w:p>
        </w:tc>
        <w:tc>
          <w:tcPr>
            <w:tcW w:w="1695" w:type="dxa"/>
            <w:vAlign w:val="center"/>
          </w:tcPr>
          <w:p>
            <w:pPr>
              <w:pStyle w:val="Other|1"/>
              <w:spacing w:line="240" w:lineRule="auto"/>
              <w:ind w:right="700" w:firstLine="0" w:rightChars="0" w:firstLineChars="0"/>
              <w:jc w:val="center"/>
              <w:rPr>
                <w:rFonts w:hint="eastAsia"/>
                <w:vertAlign w:val="baseline"/>
                <w:lang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p>
        </w:tc>
        <w:tc>
          <w:tcPr>
            <w:tcW w:w="1676"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402018</w:t>
            </w:r>
          </w:p>
        </w:tc>
        <w:tc>
          <w:tcPr>
            <w:tcW w:w="1662" w:type="dxa"/>
            <w:vAlign w:val="center"/>
          </w:tcPr>
          <w:p>
            <w:pPr>
              <w:pStyle w:val="Other|1"/>
              <w:spacing w:line="240" w:lineRule="auto"/>
              <w:ind w:firstLine="0" w:firstLineChars="0"/>
              <w:jc w:val="center"/>
              <w:rPr>
                <w:rFonts w:hint="eastAsia"/>
                <w:vertAlign w:val="baseline"/>
                <w:lang w:eastAsia="zh-CN"/>
              </w:rPr>
            </w:pP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35.59</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35.58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35.16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2012999</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其他群众团体事务支出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0.42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0.42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0.42</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2080505</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机关事业单位基本养老保险缴费支出</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5.32</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5.32</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5.32</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2100201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综合医院</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25.16</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25.16</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25.16</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715" w:type="dxa"/>
            <w:vAlign w:val="center"/>
          </w:tcPr>
          <w:p>
            <w:pPr>
              <w:pStyle w:val="Other|1"/>
              <w:spacing w:line="240" w:lineRule="auto"/>
              <w:ind w:firstLine="0" w:firstLineChars="0"/>
              <w:jc w:val="center"/>
              <w:rPr>
                <w:rFonts w:hint="eastAsia"/>
                <w:vertAlign w:val="baseline"/>
                <w:lang w:eastAsia="zh-CN"/>
              </w:rPr>
            </w:pPr>
            <w:r>
              <w:rPr>
                <w:rFonts w:ascii="Times New Roman" w:hAnsi="Times New Roman" w:cs="Times New Roman" w:hint="eastAsia"/>
                <w:b/>
                <w:bCs/>
                <w:sz w:val="17"/>
                <w:szCs w:val="17"/>
                <w:lang w:val="en-US" w:eastAsia="zh-CN"/>
              </w:rPr>
              <w:t xml:space="preserve">2210201</w:t>
            </w:r>
          </w:p>
        </w:tc>
        <w:tc>
          <w:tcPr>
            <w:tcW w:w="1676" w:type="dxa"/>
            <w:vAlign w:val="center"/>
          </w:tcPr>
          <w:p>
            <w:pPr>
              <w:pStyle w:val="Other|1"/>
              <w:spacing w:line="240" w:lineRule="auto"/>
              <w:ind w:firstLine="0" w:firstLineChars="0"/>
              <w:jc w:val="center"/>
              <w:rPr>
                <w:rFonts w:hint="eastAsia"/>
                <w:vertAlign w:val="baseline"/>
                <w:lang w:eastAsia="zh-CN"/>
              </w:rPr>
            </w:pPr>
          </w:p>
        </w:tc>
        <w:tc>
          <w:tcPr>
            <w:tcW w:w="1662" w:type="dxa"/>
            <w:vAlign w:val="center"/>
          </w:tcPr>
          <w:p>
            <w:pPr>
              <w:pStyle w:val="Other|1"/>
              <w:spacing w:line="240" w:lineRule="auto"/>
              <w:ind w:firstLine="0" w:firstLineChars="0"/>
              <w:jc w:val="center"/>
              <w:rPr>
                <w:rFonts w:hint="eastAsia"/>
                <w:vertAlign w:val="baseline"/>
                <w:lang w:eastAsia="zh-CN"/>
              </w:rPr>
            </w:pPr>
            <w:r>
              <w:rPr>
                <w:rFonts w:hint="eastAsia"/>
                <w:sz w:val="17"/>
                <w:szCs w:val="17"/>
                <w:lang w:val="en-US" w:eastAsia="zh-CN"/>
              </w:rPr>
              <w:t xml:space="preserve">住房公积金</w:t>
            </w:r>
          </w:p>
        </w:tc>
        <w:tc>
          <w:tcPr>
            <w:tcW w:w="1717" w:type="dxa"/>
            <w:vAlign w:val="center"/>
          </w:tcPr>
          <w:p>
            <w:pPr>
              <w:pStyle w:val="Other|1"/>
              <w:spacing w:line="240" w:lineRule="auto"/>
              <w:ind w:left="106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4.68</w:t>
            </w:r>
          </w:p>
        </w:tc>
        <w:tc>
          <w:tcPr>
            <w:tcW w:w="1879" w:type="dxa"/>
            <w:vAlign w:val="center"/>
          </w:tcPr>
          <w:p>
            <w:pPr>
              <w:pStyle w:val="Other|1"/>
              <w:spacing w:line="240" w:lineRule="auto"/>
              <w:ind w:left="1320" w:firstLine="0" w:leftChars="0" w:firstLineChars="0"/>
              <w:jc w:val="center"/>
              <w:rPr>
                <w:rFonts w:hint="eastAsia"/>
                <w:vertAlign w:val="baseline"/>
                <w:lang w:eastAsia="zh-CN"/>
              </w:rPr>
            </w:pPr>
            <w:r>
              <w:rPr>
                <w:rFonts w:hint="eastAsia"/>
                <w:b/>
                <w:bCs/>
                <w:sz w:val="17"/>
                <w:szCs w:val="17"/>
                <w:lang w:val="en-US" w:eastAsia="zh-CN"/>
              </w:rPr>
              <w:t xml:space="preserve">4.68</w:t>
            </w:r>
          </w:p>
        </w:tc>
        <w:tc>
          <w:tcPr>
            <w:tcW w:w="1729" w:type="dxa"/>
            <w:vAlign w:val="center"/>
          </w:tcPr>
          <w:p>
            <w:pPr>
              <w:pStyle w:val="Other|1"/>
              <w:spacing w:line="240" w:lineRule="auto"/>
              <w:ind w:left="1120" w:firstLine="0" w:leftChars="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4.68</w:t>
            </w:r>
          </w:p>
        </w:tc>
        <w:tc>
          <w:tcPr>
            <w:tcW w:w="1790" w:type="dxa"/>
            <w:gridSpan w:val="2"/>
            <w:vAlign w:val="center"/>
          </w:tcPr>
          <w:p>
            <w:pPr>
              <w:pStyle w:val="Other|1"/>
              <w:spacing w:line="240" w:lineRule="auto"/>
              <w:ind w:left="1060" w:firstLine="0" w:leftChars="0" w:firstLineChars="0"/>
              <w:jc w:val="center"/>
              <w:rPr>
                <w:rFonts w:hint="eastAsia"/>
                <w:vertAlign w:val="baseline"/>
                <w:lang w:eastAsia="zh-CN"/>
              </w:rPr>
            </w:pPr>
            <w:r>
              <w:rPr>
                <w:rFonts w:hint="eastAsia"/>
                <w:b/>
                <w:bCs/>
                <w:sz w:val="17"/>
                <w:szCs w:val="17"/>
                <w:lang w:val="en-US" w:eastAsia="zh-CN"/>
              </w:rPr>
              <w:t xml:space="preserve">0.00</w:t>
            </w:r>
          </w:p>
        </w:tc>
        <w:tc>
          <w:tcPr>
            <w:tcW w:w="1694" w:type="dxa"/>
            <w:vAlign w:val="center"/>
          </w:tcPr>
          <w:p>
            <w:pPr>
              <w:pStyle w:val="Other|1"/>
              <w:spacing w:line="240" w:lineRule="auto"/>
              <w:ind w:firstLine="400" w:firstLineChars="0"/>
              <w:jc w:val="center"/>
              <w:rPr>
                <w:rFonts w:hint="eastAsia"/>
                <w:vertAlign w:val="baseline"/>
                <w:lang w:eastAsia="zh-CN"/>
              </w:rPr>
            </w:pPr>
            <w:r>
              <w:rPr>
                <w:rFonts w:ascii="Times New Roman" w:hAnsi="Times New Roman" w:cs="Times New Roman" w:hint="eastAsia"/>
                <w:b/>
                <w:bCs/>
                <w:sz w:val="17"/>
                <w:szCs w:val="17"/>
                <w:lang w:val="en-US" w:eastAsia="zh-CN" w:bidi="en-US"/>
              </w:rPr>
              <w:t xml:space="preserve">0.00</w:t>
            </w:r>
          </w:p>
        </w:tc>
        <w:tc>
          <w:tcPr>
            <w:tcW w:w="1695" w:type="dxa"/>
            <w:vAlign w:val="center"/>
          </w:tcPr>
          <w:p>
            <w:pPr>
              <w:pStyle w:val="Other|1"/>
              <w:spacing w:line="240" w:lineRule="auto"/>
              <w:ind w:firstLine="400" w:firstLineChars="0"/>
              <w:jc w:val="center"/>
              <w:rPr>
                <w:rFonts w:hint="eastAsia"/>
                <w:vertAlign w:val="baseline"/>
                <w:lang w:eastAsia="zh-CN"/>
              </w:rPr>
            </w:pPr>
            <w:r>
              <w:rPr>
                <w:rFonts w:hint="eastAsia"/>
                <w:b/>
                <w:bCs/>
                <w:sz w:val="17"/>
                <w:szCs w:val="17"/>
                <w:lang w:val="en-US" w:eastAsia="zh-CN"/>
              </w:rPr>
              <w:t xml:space="preserve">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10"/>
            <w:tcBorders>
              <w:left w:val="nil"/>
              <w:bottom w:val="nil"/>
              <w:right w:val="nil"/>
            </w:tcBorders>
          </w:tcPr>
          <w:p>
            <w:pPr>
              <w:jc w:val="left"/>
              <w:rPr>
                <w:rFonts w:hint="eastAsia"/>
                <w:vertAlign w:val="baseline"/>
                <w:lang w:eastAsia="zh-CN"/>
              </w:rPr>
            </w:pPr>
            <w:r>
              <w:rPr>
                <w:sz w:val="16"/>
                <w:szCs w:val="16"/>
              </w:rPr>
              <w:t xml:space="preserve">注：本报表金额单位转换时可能存在四舍五入尾数误差。</w:t>
            </w:r>
          </w:p>
        </w:tc>
      </w:tr>
    </w:tbl>
    <w:p>
      <w:pPr>
        <w:jc w:val="left"/>
        <w:rPr>
          <w:rFonts w:hint="eastAsia"/>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pPr>
      <w:bookmarkStart w:id="25" w:name="bookmark56"/>
      <w:bookmarkStart w:id="26" w:name="bookmark57"/>
      <w:bookmarkStart w:id="27" w:name="bookmark58"/>
      <w:r>
        <w:t xml:space="preserve">一般公共预算基本支出情况表</w:t>
      </w:r>
      <w:bookmarkEnd w:id="25"/>
      <w:bookmarkEnd w:id="26"/>
      <w:bookmarkEnd w:id="27"/>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3110"/>
        <w:gridCol w:w="3111"/>
        <w:gridCol w:w="3111"/>
        <w:gridCol w:w="3112"/>
        <w:gridCol w:w="311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blHeader/>
        </w:trPr>
        <w:tc>
          <w:tcPr>
            <w:tcW w:w="12444" w:type="dxa"/>
            <w:gridSpan w:val="4"/>
            <w:tcBorders>
              <w:top w:val="nil"/>
              <w:left w:val="nil"/>
              <w:right w:val="nil"/>
            </w:tcBorders>
          </w:tcPr>
          <w:p>
            <w:pPr>
              <w:jc w:val="left"/>
              <w:rPr>
                <w:rFonts w:ascii="宋体" w:eastAsia="宋体" w:hAnsi="宋体" w:cs="宋体" w:hint="eastAsia"/>
                <w:sz w:val="16"/>
                <w:szCs w:val="16"/>
                <w:vertAlign w:val="baseline"/>
                <w:lang w:eastAsia="zh-CN"/>
              </w:rPr>
            </w:pPr>
            <w:bookmarkStart w:id="28" w:name="_GoBack"/>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环江毛南族自治县中医医院</w:t>
            </w:r>
          </w:p>
        </w:tc>
        <w:tc>
          <w:tcPr>
            <w:tcW w:w="3113" w:type="dxa"/>
            <w:tcBorders>
              <w:top w:val="nil"/>
              <w:left w:val="nil"/>
              <w:right w:val="nil"/>
            </w:tcBorders>
          </w:tcPr>
          <w:p>
            <w:pPr>
              <w:ind w:firstLine="1760" w:firstLineChars="1100"/>
              <w:jc w:val="left"/>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5"/>
          <w:tblHeader/>
        </w:trPr>
        <w:tc>
          <w:tcPr>
            <w:tcW w:w="6221" w:type="dxa"/>
            <w:gridSpan w:val="2"/>
          </w:tcPr>
          <w:p>
            <w:pPr>
              <w:jc w:val="left"/>
              <w:rPr>
                <w:vertAlign w:val="baseline"/>
                <w:lang w:eastAsia="zh-CN"/>
              </w:rPr>
            </w:pPr>
            <w:r>
              <w:rPr>
                <w:sz w:val="17"/>
                <w:szCs w:val="17"/>
              </w:rPr>
              <w:t xml:space="preserve">部门预算支出经济分类科目</w:t>
            </w:r>
          </w:p>
        </w:tc>
        <w:tc>
          <w:tcPr>
            <w:tcW w:w="9336" w:type="dxa"/>
            <w:gridSpan w:val="3"/>
          </w:tcPr>
          <w:p>
            <w:pPr>
              <w:jc w:val="left"/>
              <w:rPr>
                <w:vertAlign w:val="baseline"/>
                <w:lang w:eastAsia="zh-CN"/>
              </w:rPr>
            </w:pPr>
            <w:r>
              <w:rPr>
                <w:sz w:val="17"/>
                <w:szCs w:val="17"/>
              </w:rPr>
              <w:t xml:space="preserve">本年一般公共预算基本支出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20"/>
          <w:tblHeader/>
        </w:trPr>
        <w:tc>
          <w:tcPr>
            <w:tcW w:w="3110" w:type="dxa"/>
            <w:vAlign w:val="center"/>
          </w:tcPr>
          <w:p>
            <w:pPr>
              <w:pStyle w:val="Other|1"/>
              <w:spacing w:line="240" w:lineRule="auto"/>
              <w:ind w:firstLine="0" w:firstLineChars="0"/>
              <w:jc w:val="center"/>
              <w:rPr>
                <w:vertAlign w:val="baseline"/>
                <w:lang w:eastAsia="zh-CN"/>
              </w:rPr>
            </w:pPr>
            <w:r>
              <w:rPr>
                <w:sz w:val="17"/>
                <w:szCs w:val="17"/>
              </w:rPr>
              <w:t xml:space="preserve">科目编码</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科目名称</w:t>
            </w:r>
          </w:p>
        </w:tc>
        <w:tc>
          <w:tcPr>
            <w:tcW w:w="3111" w:type="dxa"/>
            <w:vAlign w:val="center"/>
          </w:tcPr>
          <w:p>
            <w:pPr>
              <w:pStyle w:val="Other|1"/>
              <w:spacing w:line="240" w:lineRule="auto"/>
              <w:ind w:firstLine="0" w:firstLineChars="0"/>
              <w:jc w:val="center"/>
              <w:rPr>
                <w:vertAlign w:val="baseline"/>
                <w:lang w:eastAsia="zh-CN"/>
              </w:rPr>
            </w:pPr>
            <w:r>
              <w:rPr>
                <w:sz w:val="17"/>
                <w:szCs w:val="17"/>
              </w:rPr>
              <w:t xml:space="preserve">合计</w:t>
            </w:r>
          </w:p>
        </w:tc>
        <w:tc>
          <w:tcPr>
            <w:tcW w:w="3112" w:type="dxa"/>
            <w:vAlign w:val="center"/>
          </w:tcPr>
          <w:p>
            <w:pPr>
              <w:pStyle w:val="Other|1"/>
              <w:spacing w:line="240" w:lineRule="auto"/>
              <w:ind w:firstLine="0" w:firstLineChars="0"/>
              <w:jc w:val="center"/>
              <w:rPr>
                <w:vertAlign w:val="baseline"/>
                <w:lang w:eastAsia="zh-CN"/>
              </w:rPr>
            </w:pPr>
            <w:r>
              <w:rPr>
                <w:sz w:val="17"/>
                <w:szCs w:val="17"/>
              </w:rPr>
              <w:t xml:space="preserve">人员经费</w:t>
            </w:r>
          </w:p>
        </w:tc>
        <w:tc>
          <w:tcPr>
            <w:tcW w:w="3113" w:type="dxa"/>
            <w:vAlign w:val="center"/>
          </w:tcPr>
          <w:p>
            <w:pPr>
              <w:pStyle w:val="Other|1"/>
              <w:spacing w:line="240" w:lineRule="auto"/>
              <w:ind w:firstLine="0" w:firstLineChars="0"/>
              <w:jc w:val="center"/>
              <w:rPr>
                <w:vertAlign w:val="baseline"/>
                <w:lang w:eastAsia="zh-CN"/>
              </w:rPr>
            </w:pPr>
            <w:r>
              <w:rPr>
                <w:sz w:val="17"/>
                <w:szCs w:val="17"/>
              </w:rPr>
              <w:t xml:space="preserve">公用经费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合计</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35.58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工资福利支出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35.16</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35.16</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30101</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基本工资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12.44</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12.44</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津贴补贴</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3.41</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3.41</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30107</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绩效工资</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6.95</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6.95</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30108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机关事业单位基本养老保险缴费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5.32</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30110</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职工基本医疗保险缴费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2.13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其他社会保障缴费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0.23</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0.23</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30113</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住房公积金</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4.68</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4.68</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商品和服务支出</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95"/>
          <w:tblHeader/>
        </w:trPr>
        <w:tc>
          <w:tcPr>
            <w:tcW w:w="3110" w:type="dxa"/>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30228</w:t>
            </w:r>
          </w:p>
        </w:tc>
        <w:tc>
          <w:tcPr>
            <w:tcW w:w="3111" w:type="dxa"/>
            <w:vAlign w:val="center"/>
          </w:tcPr>
          <w:p>
            <w:pPr>
              <w:pStyle w:val="Other|1"/>
              <w:spacing w:line="240" w:lineRule="auto"/>
              <w:ind w:firstLine="0" w:firstLineChars="0"/>
              <w:jc w:val="left"/>
              <w:rPr>
                <w:vertAlign w:val="baseline"/>
                <w:lang w:eastAsia="zh-CN"/>
              </w:rPr>
            </w:pPr>
            <w:r>
              <w:rPr>
                <w:rFonts w:ascii="Times New Roman" w:eastAsia="Times New Roman" w:hAnsi="Times New Roman" w:cs="Times New Roman" w:hint="eastAsia"/>
                <w:b/>
                <w:bCs/>
                <w:sz w:val="17"/>
                <w:szCs w:val="17"/>
                <w:lang w:val="en-US" w:eastAsia="zh-CN"/>
              </w:rPr>
              <w:t xml:space="preserve">工会经费</w:t>
            </w:r>
          </w:p>
        </w:tc>
        <w:tc>
          <w:tcPr>
            <w:tcW w:w="3111"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0.42</w:t>
            </w:r>
          </w:p>
        </w:tc>
        <w:tc>
          <w:tcPr>
            <w:tcW w:w="3112"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0.00</w:t>
            </w:r>
          </w:p>
        </w:tc>
        <w:tc>
          <w:tcPr>
            <w:tcW w:w="3113" w:type="dxa"/>
            <w:vAlign w:val="center"/>
          </w:tcPr>
          <w:p>
            <w:pPr>
              <w:pStyle w:val="Other|1"/>
              <w:spacing w:line="240" w:lineRule="auto"/>
              <w:ind w:firstLine="0" w:firstLineChars="0"/>
              <w:jc w:val="right"/>
              <w:rPr>
                <w:vertAlign w:val="baseline"/>
                <w:lang w:eastAsia="zh-CN"/>
              </w:rPr>
            </w:pPr>
            <w:r>
              <w:rPr>
                <w:rFonts w:ascii="Times New Roman" w:eastAsia="Times New Roman" w:hAnsi="Times New Roman" w:cs="Times New Roman" w:hint="eastAsia"/>
                <w:b/>
                <w:bCs/>
                <w:sz w:val="17"/>
                <w:szCs w:val="17"/>
                <w:lang w:val="en-US" w:eastAsia="zh-CN"/>
              </w:rPr>
              <w:t xml:space="preserve">0.42</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432"/>
          <w:tblHeader/>
        </w:trPr>
        <w:tc>
          <w:tcPr>
            <w:tcW w:w="15557" w:type="dxa"/>
            <w:gridSpan w:val="5"/>
            <w:tcBorders>
              <w:left w:val="nil"/>
              <w:bottom w:val="nil"/>
              <w:right w:val="nil"/>
            </w:tcBorders>
          </w:tcPr>
          <w:p>
            <w:pPr>
              <w:jc w:val="left"/>
              <w:rPr>
                <w:sz w:val="16"/>
                <w:szCs w:val="16"/>
              </w:rPr>
            </w:pPr>
          </w:p>
          <w:p>
            <w:pPr>
              <w:jc w:val="left"/>
              <w:rPr>
                <w:vertAlign w:val="baseline"/>
                <w:lang w:eastAsia="zh-CN"/>
              </w:rPr>
            </w:pPr>
            <w:r>
              <w:rPr>
                <w:sz w:val="16"/>
                <w:szCs w:val="16"/>
              </w:rPr>
              <w:t xml:space="preserve">注：本报表金额单位转换时可能存在四舍五入尾数误差。</w:t>
            </w:r>
            <w:bookmarkEnd w:id="28"/>
          </w:p>
        </w:tc>
      </w:tr>
    </w:tbl>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jc w:val="left"/>
        <w:rPr>
          <w:lang w:eastAsia="zh-CN"/>
        </w:rPr>
      </w:pPr>
    </w:p>
    <w:p>
      <w:pPr>
        <w:pStyle w:val="Heading#2|1"/>
        <w:keepNext/>
        <w:keepLines/>
        <w:spacing w:after="240"/>
        <w:jc w:val="center"/>
        <w:rPr>
          <w:rFonts w:hint="default"/>
          <w:sz w:val="28"/>
          <w:szCs w:val="28"/>
          <w:lang w:val="en-US" w:eastAsia="zh-CN"/>
        </w:rPr>
      </w:pPr>
      <w:bookmarkStart w:id="29" w:name="bookmark66"/>
      <w:bookmarkStart w:id="30" w:name="bookmark67"/>
      <w:bookmarkStart w:id="31" w:name="bookmark65"/>
      <w:r>
        <w:rPr>
          <w:rFonts w:hint="default"/>
          <w:sz w:val="28"/>
          <w:szCs w:val="28"/>
          <w:lang w:val="en-US" w:eastAsia="zh-CN"/>
        </w:rPr>
        <w:t xml:space="preserve">一般公共预算“三公”经费预算表</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296"/>
        <w:gridCol w:w="1918"/>
        <w:gridCol w:w="1884"/>
        <w:gridCol w:w="1895"/>
        <w:gridCol w:w="1888"/>
        <w:gridCol w:w="1890"/>
        <w:gridCol w:w="1895"/>
        <w:gridCol w:w="2"/>
        <w:gridCol w:w="1889"/>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666" w:type="dxa"/>
            <w:gridSpan w:val="7"/>
            <w:tcBorders>
              <w:top w:val="nil"/>
              <w:left w:val="nil"/>
              <w:right w:val="nil"/>
            </w:tcBorders>
          </w:tcPr>
          <w:p>
            <w:pPr>
              <w:pStyle w:val="Tablecaption|1"/>
              <w:bidi w:val="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单位名称：</w:t>
            </w:r>
            <w:r>
              <w:rPr>
                <w:rFonts w:ascii="宋体" w:eastAsia="宋体" w:hAnsi="宋体" w:cs="宋体"/>
                <w:sz w:val="16"/>
                <w:u w:color="auto"/>
              </w:rPr>
              <w:t xml:space="preserve">环江毛南族自治县中医医院</w:t>
            </w:r>
          </w:p>
        </w:tc>
        <w:tc>
          <w:tcPr>
            <w:tcW w:w="1891" w:type="dxa"/>
            <w:gridSpan w:val="2"/>
            <w:tcBorders>
              <w:top w:val="nil"/>
              <w:left w:val="nil"/>
              <w:right w:val="nil"/>
            </w:tcBorders>
          </w:tcPr>
          <w:p>
            <w:pPr>
              <w:pStyle w:val="Tablecaption|1"/>
              <w:bidi w:val="0"/>
              <w:ind w:firstLine="480" w:firstLineChars="300"/>
              <w:jc w:val="both"/>
              <w:rPr>
                <w:rFonts w:ascii="宋体" w:eastAsia="宋体" w:hAnsi="宋体" w:cs="宋体" w:hint="eastAsia"/>
                <w:sz w:val="16"/>
                <w:szCs w:val="16"/>
                <w:vertAlign w:val="baseline"/>
                <w:lang w:eastAsia="zh-CN"/>
              </w:rPr>
            </w:pPr>
            <w:r>
              <w:rPr>
                <w:rFonts w:ascii="宋体" w:eastAsia="宋体" w:hAnsi="宋体" w:cs="宋体" w:hint="eastAsia"/>
                <w:sz w:val="16"/>
                <w:szCs w:val="16"/>
                <w:vertAlign w:val="baseline"/>
                <w:lang w:eastAsia="zh-CN"/>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val="restart"/>
          </w:tcPr>
          <w:p>
            <w:pPr>
              <w:pStyle w:val="Tablecaption|1"/>
              <w:bidi w:val="0"/>
              <w:jc w:val="center"/>
              <w:rPr>
                <w:rFonts w:hint="eastAsia"/>
                <w:vertAlign w:val="baseline"/>
                <w:lang w:val="en-US" w:eastAsia="zh-CN"/>
              </w:rPr>
            </w:pPr>
            <w:r>
              <w:rPr>
                <w:sz w:val="17"/>
                <w:szCs w:val="17"/>
              </w:rPr>
              <w:t xml:space="preserve">门（单位）代码</w:t>
            </w:r>
          </w:p>
        </w:tc>
        <w:tc>
          <w:tcPr>
            <w:tcW w:w="1918" w:type="dxa"/>
            <w:vMerge w:val="restart"/>
          </w:tcPr>
          <w:p>
            <w:pPr>
              <w:pStyle w:val="Tablecaption|1"/>
              <w:bidi w:val="0"/>
              <w:jc w:val="center"/>
              <w:rPr>
                <w:rFonts w:hint="eastAsia"/>
                <w:vertAlign w:val="baseline"/>
                <w:lang w:val="en-US" w:eastAsia="zh-CN"/>
              </w:rPr>
            </w:pPr>
            <w:r>
              <w:rPr>
                <w:sz w:val="17"/>
                <w:szCs w:val="17"/>
              </w:rPr>
              <w:t xml:space="preserve">部门（单位）名称</w:t>
            </w:r>
          </w:p>
        </w:tc>
        <w:tc>
          <w:tcPr>
            <w:tcW w:w="11343" w:type="dxa"/>
            <w:gridSpan w:val="7"/>
          </w:tcPr>
          <w:p>
            <w:pPr>
              <w:pStyle w:val="Tablecaption|1"/>
              <w:bidi w:val="0"/>
              <w:jc w:val="center"/>
              <w:rPr>
                <w:rFonts w:hint="eastAsia"/>
                <w:vertAlign w:val="baseline"/>
                <w:lang w:val="en-US" w:eastAsia="zh-CN"/>
              </w:rPr>
            </w:pPr>
            <w:r>
              <w:rPr>
                <w:sz w:val="17"/>
                <w:szCs w:val="17"/>
                <w:lang w:val="zh-CN" w:eastAsia="zh-CN" w:bidi="zh-CN"/>
              </w:rPr>
              <w:t xml:space="preserve">“三</w:t>
            </w:r>
            <w:r>
              <w:rPr>
                <w:sz w:val="17"/>
                <w:szCs w:val="17"/>
              </w:rPr>
              <w:t xml:space="preserve">公”经费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val="restart"/>
          </w:tcPr>
          <w:p>
            <w:pPr>
              <w:pStyle w:val="Tablecaption|1"/>
              <w:bidi w:val="0"/>
              <w:jc w:val="center"/>
              <w:rPr>
                <w:rFonts w:hint="eastAsia"/>
                <w:vertAlign w:val="baseline"/>
                <w:lang w:val="en-US" w:eastAsia="zh-CN"/>
              </w:rPr>
            </w:pPr>
            <w:r>
              <w:rPr>
                <w:sz w:val="17"/>
                <w:szCs w:val="17"/>
              </w:rPr>
              <w:t xml:space="preserve">合计</w:t>
            </w:r>
          </w:p>
        </w:tc>
        <w:tc>
          <w:tcPr>
            <w:tcW w:w="1895" w:type="dxa"/>
            <w:vMerge w:val="restart"/>
          </w:tcPr>
          <w:p>
            <w:pPr>
              <w:pStyle w:val="Tablecaption|1"/>
              <w:bidi w:val="0"/>
              <w:jc w:val="center"/>
              <w:rPr>
                <w:rFonts w:hint="eastAsia"/>
                <w:vertAlign w:val="baseline"/>
                <w:lang w:val="en-US" w:eastAsia="zh-CN"/>
              </w:rPr>
            </w:pPr>
            <w:r>
              <w:rPr>
                <w:sz w:val="17"/>
                <w:szCs w:val="17"/>
              </w:rPr>
              <w:t xml:space="preserve">因公出国（境）费</w:t>
            </w:r>
          </w:p>
        </w:tc>
        <w:tc>
          <w:tcPr>
            <w:tcW w:w="5675" w:type="dxa"/>
            <w:gridSpan w:val="4"/>
          </w:tcPr>
          <w:p>
            <w:pPr>
              <w:pStyle w:val="Tablecaption|1"/>
              <w:bidi w:val="0"/>
              <w:jc w:val="center"/>
              <w:rPr>
                <w:rFonts w:hint="eastAsia"/>
                <w:vertAlign w:val="baseline"/>
                <w:lang w:val="en-US" w:eastAsia="zh-CN"/>
              </w:rPr>
            </w:pPr>
            <w:r>
              <w:rPr>
                <w:sz w:val="17"/>
                <w:szCs w:val="17"/>
              </w:rPr>
              <w:t xml:space="preserve">公务用车购置及运行维护费</w:t>
            </w:r>
          </w:p>
        </w:tc>
        <w:tc>
          <w:tcPr>
            <w:tcW w:w="1889" w:type="dxa"/>
            <w:vMerge w:val="restart"/>
          </w:tcPr>
          <w:p>
            <w:pPr>
              <w:pStyle w:val="Tablecaption|1"/>
              <w:bidi w:val="0"/>
              <w:jc w:val="center"/>
              <w:rPr>
                <w:rFonts w:hint="eastAsia"/>
                <w:vertAlign w:val="baseline"/>
                <w:lang w:val="en-US" w:eastAsia="zh-CN"/>
              </w:rPr>
            </w:pPr>
            <w:r>
              <w:rPr>
                <w:sz w:val="17"/>
                <w:szCs w:val="17"/>
              </w:rPr>
              <w:t xml:space="preserve">公务接待费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Merge/>
          </w:tcPr>
          <w:p>
            <w:pPr>
              <w:pStyle w:val="Tablecaption|1"/>
              <w:bidi w:val="0"/>
              <w:jc w:val="center"/>
              <w:rPr>
                <w:rFonts w:hint="eastAsia"/>
                <w:vertAlign w:val="baseline"/>
                <w:lang w:val="en-US" w:eastAsia="zh-CN"/>
              </w:rPr>
            </w:pPr>
          </w:p>
        </w:tc>
        <w:tc>
          <w:tcPr>
            <w:tcW w:w="1918" w:type="dxa"/>
            <w:vMerge/>
          </w:tcPr>
          <w:p>
            <w:pPr>
              <w:pStyle w:val="Tablecaption|1"/>
              <w:bidi w:val="0"/>
              <w:jc w:val="center"/>
              <w:rPr>
                <w:rFonts w:hint="eastAsia"/>
                <w:vertAlign w:val="baseline"/>
                <w:lang w:val="en-US" w:eastAsia="zh-CN"/>
              </w:rPr>
            </w:pPr>
          </w:p>
        </w:tc>
        <w:tc>
          <w:tcPr>
            <w:tcW w:w="1884" w:type="dxa"/>
            <w:vMerge/>
          </w:tcPr>
          <w:p>
            <w:pPr>
              <w:pStyle w:val="Tablecaption|1"/>
              <w:bidi w:val="0"/>
              <w:jc w:val="center"/>
              <w:rPr>
                <w:rFonts w:hint="eastAsia"/>
                <w:vertAlign w:val="baseline"/>
                <w:lang w:val="en-US" w:eastAsia="zh-CN"/>
              </w:rPr>
            </w:pPr>
          </w:p>
        </w:tc>
        <w:tc>
          <w:tcPr>
            <w:tcW w:w="1895" w:type="dxa"/>
            <w:vMerge/>
          </w:tcPr>
          <w:p>
            <w:pPr>
              <w:pStyle w:val="Tablecaption|1"/>
              <w:bidi w:val="0"/>
              <w:jc w:val="center"/>
              <w:rPr>
                <w:rFonts w:hint="eastAsia"/>
                <w:vertAlign w:val="baseline"/>
                <w:lang w:val="en-US" w:eastAsia="zh-CN"/>
              </w:rPr>
            </w:pPr>
          </w:p>
        </w:tc>
        <w:tc>
          <w:tcPr>
            <w:tcW w:w="1888" w:type="dxa"/>
            <w:vAlign w:val="center"/>
          </w:tcPr>
          <w:p>
            <w:pPr>
              <w:pStyle w:val="Other|1"/>
              <w:spacing w:line="240" w:lineRule="auto"/>
              <w:ind w:firstLine="0" w:firstLineChars="0"/>
              <w:jc w:val="center"/>
              <w:rPr>
                <w:rFonts w:hint="eastAsia"/>
                <w:vertAlign w:val="baseline"/>
                <w:lang w:val="en-US" w:eastAsia="zh-CN"/>
              </w:rPr>
            </w:pPr>
            <w:r>
              <w:rPr>
                <w:sz w:val="17"/>
                <w:szCs w:val="17"/>
              </w:rPr>
              <w:t xml:space="preserve">小计</w:t>
            </w:r>
          </w:p>
        </w:tc>
        <w:tc>
          <w:tcPr>
            <w:tcW w:w="1890" w:type="dxa"/>
            <w:vAlign w:val="center"/>
          </w:tcPr>
          <w:p>
            <w:pPr>
              <w:pStyle w:val="Other|1"/>
              <w:spacing w:line="240" w:lineRule="auto"/>
              <w:ind w:firstLine="220" w:firstLineChars="0"/>
              <w:jc w:val="center"/>
              <w:rPr>
                <w:rFonts w:hint="eastAsia"/>
                <w:vertAlign w:val="baseline"/>
                <w:lang w:val="en-US" w:eastAsia="zh-CN"/>
              </w:rPr>
            </w:pPr>
            <w:r>
              <w:rPr>
                <w:sz w:val="17"/>
                <w:szCs w:val="17"/>
              </w:rPr>
              <w:t xml:space="preserve">公务用车运行维护费</w:t>
            </w:r>
          </w:p>
        </w:tc>
        <w:tc>
          <w:tcPr>
            <w:tcW w:w="1897" w:type="dxa"/>
            <w:gridSpan w:val="2"/>
            <w:vAlign w:val="center"/>
          </w:tcPr>
          <w:p>
            <w:pPr>
              <w:pStyle w:val="Other|1"/>
              <w:spacing w:line="240" w:lineRule="auto"/>
              <w:ind w:firstLine="400" w:firstLineChars="0"/>
              <w:jc w:val="center"/>
              <w:rPr>
                <w:rFonts w:hint="eastAsia"/>
                <w:vertAlign w:val="baseline"/>
                <w:lang w:val="en-US" w:eastAsia="zh-CN"/>
              </w:rPr>
            </w:pPr>
            <w:r>
              <w:rPr>
                <w:sz w:val="17"/>
                <w:szCs w:val="17"/>
              </w:rPr>
              <w:t xml:space="preserve">公务用车购置费</w:t>
            </w:r>
          </w:p>
        </w:tc>
        <w:tc>
          <w:tcPr>
            <w:tcW w:w="1889" w:type="dxa"/>
            <w:vMerge/>
          </w:tcPr>
          <w:p>
            <w:pPr>
              <w:pStyle w:val="Tablecaption|1"/>
              <w:bidi w:val="0"/>
              <w:jc w:val="center"/>
              <w:rPr>
                <w:rFonts w:hint="eastAsia"/>
                <w:vertAlign w:val="baseline"/>
                <w:lang w:val="en-US" w:eastAsia="zh-CN"/>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jc w:val="center"/>
              <w:rPr>
                <w:rFonts w:hint="eastAsia"/>
                <w:vertAlign w:val="baseline"/>
                <w:lang w:val="en-US" w:eastAsia="zh-CN"/>
              </w:rPr>
            </w:pPr>
          </w:p>
        </w:tc>
        <w:tc>
          <w:tcPr>
            <w:tcW w:w="1918" w:type="dxa"/>
            <w:vAlign w:val="center"/>
          </w:tcPr>
          <w:p>
            <w:pPr>
              <w:jc w:val="center"/>
              <w:rPr>
                <w:rFonts w:hint="eastAsia"/>
                <w:vertAlign w:val="baseline"/>
                <w:lang w:val="en-US" w:eastAsia="zh-CN"/>
              </w:rPr>
            </w:pPr>
          </w:p>
        </w:tc>
        <w:tc>
          <w:tcPr>
            <w:tcW w:w="1884"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1</w:t>
            </w:r>
          </w:p>
        </w:tc>
        <w:tc>
          <w:tcPr>
            <w:tcW w:w="1895"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2</w:t>
            </w:r>
          </w:p>
        </w:tc>
        <w:tc>
          <w:tcPr>
            <w:tcW w:w="1888"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3</w:t>
            </w:r>
          </w:p>
        </w:tc>
        <w:tc>
          <w:tcPr>
            <w:tcW w:w="1890"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4</w:t>
            </w:r>
          </w:p>
        </w:tc>
        <w:tc>
          <w:tcPr>
            <w:tcW w:w="1897" w:type="dxa"/>
            <w:gridSpan w:val="2"/>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5</w:t>
            </w:r>
          </w:p>
        </w:tc>
        <w:tc>
          <w:tcPr>
            <w:tcW w:w="1889" w:type="dxa"/>
            <w:vAlign w:val="center"/>
          </w:tcPr>
          <w:p>
            <w:pPr>
              <w:pStyle w:val="Other|1"/>
              <w:spacing w:line="240" w:lineRule="auto"/>
              <w:ind w:firstLine="0" w:firstLineChars="0"/>
              <w:jc w:val="center"/>
              <w:rPr>
                <w:rFonts w:hint="eastAsia"/>
                <w:vertAlign w:val="baseline"/>
                <w:lang w:val="en-US" w:eastAsia="zh-CN"/>
              </w:rPr>
            </w:pPr>
            <w:r>
              <w:rPr>
                <w:rFonts w:ascii="Times New Roman" w:eastAsia="Times New Roman" w:hAnsi="Times New Roman" w:cs="Times New Roman"/>
                <w:b/>
                <w:bCs/>
                <w:sz w:val="17"/>
                <w:szCs w:val="17"/>
              </w:rPr>
              <w:t xml:space="preserve">6</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296" w:type="dxa"/>
            <w:vAlign w:val="center"/>
          </w:tcPr>
          <w:p>
            <w:pPr>
              <w:pStyle w:val="Other|1"/>
              <w:spacing w:line="240" w:lineRule="auto"/>
              <w:ind w:firstLine="0" w:firstLineChars="0"/>
              <w:jc w:val="lef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402018</w:t>
            </w:r>
          </w:p>
        </w:tc>
        <w:tc>
          <w:tcPr>
            <w:tcW w:w="1918" w:type="dxa"/>
            <w:vAlign w:val="center"/>
          </w:tcPr>
          <w:p>
            <w:pPr>
              <w:pStyle w:val="Other|1"/>
              <w:spacing w:line="240" w:lineRule="auto"/>
              <w:ind w:firstLine="0" w:firstLineChars="0"/>
              <w:jc w:val="left"/>
              <w:rPr>
                <w:rFonts w:hint="eastAsia"/>
                <w:vertAlign w:val="baseline"/>
                <w:lang w:val="en-US" w:eastAsia="zh-CN"/>
              </w:rPr>
            </w:pPr>
          </w:p>
        </w:tc>
        <w:tc>
          <w:tcPr>
            <w:tcW w:w="1884"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0.20</w:t>
            </w:r>
          </w:p>
        </w:tc>
        <w:tc>
          <w:tcPr>
            <w:tcW w:w="1895"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8"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0"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97" w:type="dxa"/>
            <w:gridSpan w:val="2"/>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0.00</w:t>
            </w:r>
          </w:p>
        </w:tc>
        <w:tc>
          <w:tcPr>
            <w:tcW w:w="1889" w:type="dxa"/>
            <w:vAlign w:val="center"/>
          </w:tcPr>
          <w:p>
            <w:pPr>
              <w:pStyle w:val="Other|1"/>
              <w:spacing w:line="240" w:lineRule="auto"/>
              <w:ind w:firstLine="0" w:firstLineChars="0"/>
              <w:jc w:val="right"/>
              <w:rPr>
                <w:rFonts w:hint="eastAsia"/>
                <w:vertAlign w:val="baseline"/>
                <w:lang w:val="en-US" w:eastAsia="zh-CN"/>
              </w:rPr>
            </w:pPr>
            <w:r>
              <w:rPr>
                <w:rFonts w:ascii="Times New Roman" w:eastAsia="Times New Roman" w:hAnsi="Times New Roman" w:cs="Times New Roman" w:hint="eastAsia"/>
                <w:b/>
                <w:bCs/>
                <w:sz w:val="17"/>
                <w:szCs w:val="17"/>
                <w:lang w:val="en-US" w:eastAsia="zh-CN"/>
              </w:rPr>
              <w:t xml:space="preserve">0.20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312"/>
        </w:trPr>
        <w:tc>
          <w:tcPr>
            <w:tcW w:w="15557" w:type="dxa"/>
            <w:gridSpan w:val="9"/>
            <w:tcBorders>
              <w:left w:val="nil"/>
              <w:bottom w:val="nil"/>
              <w:right w:val="nil"/>
            </w:tcBorders>
          </w:tcPr>
          <w:p>
            <w:pPr>
              <w:pStyle w:val="Tablecaption|1"/>
              <w:bidi w:val="0"/>
              <w:jc w:val="both"/>
              <w:rPr>
                <w:rFonts w:hint="eastAsia"/>
                <w:vertAlign w:val="baseline"/>
                <w:lang w:val="en-US" w:eastAsia="zh-CN"/>
              </w:rPr>
            </w:pPr>
            <w:r>
              <w:rPr>
                <w:rFonts w:ascii="宋体" w:eastAsia="宋体" w:hAnsi="宋体" w:cs="宋体" w:hint="eastAsia"/>
                <w:sz w:val="16"/>
                <w:szCs w:val="16"/>
              </w:rPr>
              <w:t xml:space="preserve">注：本报表金额单位转换时可能存在四舍五入尾数误差</w:t>
            </w:r>
          </w:p>
        </w:tc>
      </w:tr>
    </w:tbl>
    <w:p>
      <w:pPr>
        <w:pStyle w:val="Tablecaption|1"/>
        <w:bidi w:val="0"/>
        <w:rPr>
          <w:rFonts w:hint="eastAsia"/>
          <w:lang w:val="en-US" w:eastAsia="zh-CN"/>
        </w:rP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Heading#2|1"/>
        <w:keepNext/>
        <w:keepLines/>
        <w:spacing w:after="240"/>
        <w:jc w:val="center"/>
      </w:pPr>
    </w:p>
    <w:p>
      <w:pPr>
        <w:pStyle w:val="Tablecaption|1"/>
        <w:bidi w:val="0"/>
      </w:pPr>
    </w:p>
    <w:p>
      <w:pPr>
        <w:pStyle w:val="Heading#2|1"/>
        <w:keepNext/>
        <w:keepLines/>
        <w:spacing w:after="240"/>
        <w:jc w:val="center"/>
      </w:pPr>
      <w:r>
        <w:t xml:space="preserve">政府性基金预算支出情况表</w:t>
      </w:r>
      <w:bookmarkEnd w:id="29"/>
      <w:bookmarkEnd w:id="30"/>
      <w:bookmarkEnd w:id="31"/>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285"/>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环江毛南族自治县中医医院</w:t>
            </w:r>
            <w:r>
              <w:tab/>
            </w:r>
            <w:r>
              <w:t xml:space="preserve">单位：万元</w:t>
            </w:r>
          </w:p>
        </w:tc>
        <w:tc>
          <w:tcPr>
            <w:tcW w:w="2163" w:type="dxa"/>
            <w:tcBorders>
              <w:top w:val="nil"/>
              <w:left w:val="nil"/>
              <w:right w:val="nil"/>
            </w:tcBorders>
          </w:tcPr>
          <w:p>
            <w:pPr>
              <w:pStyle w:val="Tablecaption|1"/>
              <w:tabs>
                <w:tab w:val="left" w:pos="14213"/>
              </w:tabs>
              <w:ind w:left="101" w:firstLine="680" w:firstLineChars="400"/>
              <w:jc w:val="left"/>
            </w:pPr>
            <w:r>
              <w:rPr>
                <w:rFonts w:hint="eastAsia"/>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pStyle w:val="Tablecaption|1"/>
              <w:bidi w:val="0"/>
              <w:jc w:val="center"/>
              <w:rPr>
                <w:vertAlign w:val="baseline"/>
              </w:rPr>
            </w:pPr>
            <w:r>
              <w:rPr>
                <w:sz w:val="17"/>
                <w:szCs w:val="17"/>
              </w:rPr>
              <w:t xml:space="preserve">科目编码</w:t>
            </w:r>
          </w:p>
        </w:tc>
        <w:tc>
          <w:tcPr>
            <w:tcW w:w="2161" w:type="dxa"/>
          </w:tcPr>
          <w:p>
            <w:pPr>
              <w:pStyle w:val="Tablecaption|1"/>
              <w:bidi w:val="0"/>
              <w:jc w:val="center"/>
              <w:rPr>
                <w:vertAlign w:val="baseline"/>
              </w:rPr>
            </w:pPr>
            <w:r>
              <w:rPr>
                <w:sz w:val="17"/>
                <w:szCs w:val="17"/>
              </w:rPr>
              <w:t xml:space="preserve">部门（单位）代码</w:t>
            </w:r>
          </w:p>
        </w:tc>
        <w:tc>
          <w:tcPr>
            <w:tcW w:w="2162" w:type="dxa"/>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2012999</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其他群众团体事务支出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2080505</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机关事业单位基本养老保险缴费支出</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2100201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综合医院</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Height w:val="135"/>
        </w:trPr>
        <w:tc>
          <w:tcPr>
            <w:tcW w:w="2527" w:type="dxa"/>
            <w:vAlign w:val="center"/>
          </w:tcPr>
          <w:p>
            <w:pPr>
              <w:pStyle w:val="Other|1"/>
              <w:spacing w:line="240" w:lineRule="auto"/>
              <w:ind w:firstLine="0" w:firstLineChars="0"/>
              <w:jc w:val="left"/>
              <w:rPr>
                <w:b w:val="0"/>
                <w:bCs w:val="0"/>
                <w:vertAlign w:val="baseline"/>
              </w:rPr>
            </w:pPr>
            <w:r>
              <w:rPr>
                <w:rFonts w:ascii="Times New Roman" w:hAnsi="Times New Roman" w:cs="Times New Roman" w:hint="eastAsia"/>
                <w:b w:val="0"/>
                <w:bCs w:val="0"/>
                <w:sz w:val="17"/>
                <w:szCs w:val="17"/>
                <w:lang w:val="en-US" w:eastAsia="zh-CN"/>
              </w:rPr>
              <w:t xml:space="preserve">2210201</w:t>
            </w:r>
          </w:p>
        </w:tc>
        <w:tc>
          <w:tcPr>
            <w:tcW w:w="2161" w:type="dxa"/>
            <w:vAlign w:val="center"/>
          </w:tcPr>
          <w:p>
            <w:pPr>
              <w:pStyle w:val="Other|1"/>
              <w:spacing w:line="240" w:lineRule="auto"/>
              <w:ind w:firstLine="0" w:firstLineChars="0"/>
              <w:jc w:val="left"/>
              <w:rPr>
                <w:b w:val="0"/>
                <w:bCs w:val="0"/>
                <w:vertAlign w:val="baseline"/>
              </w:rPr>
            </w:pPr>
          </w:p>
        </w:tc>
        <w:tc>
          <w:tcPr>
            <w:tcW w:w="2162" w:type="dxa"/>
            <w:vAlign w:val="center"/>
          </w:tcPr>
          <w:p>
            <w:pPr>
              <w:pStyle w:val="Other|1"/>
              <w:spacing w:line="240" w:lineRule="auto"/>
              <w:ind w:firstLine="0" w:firstLineChars="0"/>
              <w:jc w:val="left"/>
              <w:rPr>
                <w:b w:val="0"/>
                <w:bCs w:val="0"/>
                <w:vertAlign w:val="baseline"/>
              </w:rPr>
            </w:pPr>
            <w:r>
              <w:rPr>
                <w:rFonts w:hint="eastAsia"/>
                <w:b w:val="0"/>
                <w:bCs w:val="0"/>
                <w:sz w:val="17"/>
                <w:szCs w:val="17"/>
                <w:lang w:val="en-US" w:eastAsia="zh-CN"/>
              </w:rPr>
              <w:t xml:space="preserve">住房公积金</w:t>
            </w:r>
          </w:p>
        </w:tc>
        <w:tc>
          <w:tcPr>
            <w:tcW w:w="2222" w:type="dxa"/>
            <w:vAlign w:val="center"/>
          </w:tcPr>
          <w:p>
            <w:pPr>
              <w:pStyle w:val="Other|1"/>
              <w:spacing w:line="240" w:lineRule="auto"/>
              <w:ind w:left="1060" w:firstLine="0" w:leftChars="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hint="eastAsia"/>
                <w:b w:val="0"/>
                <w:bCs w:val="0"/>
                <w:sz w:val="17"/>
                <w:szCs w:val="17"/>
                <w:lang w:val="en-US" w:eastAsia="zh-CN"/>
              </w:rPr>
              <w:t xml:space="preserve">0.00</w:t>
            </w:r>
          </w:p>
        </w:tc>
        <w:tc>
          <w:tcPr>
            <w:tcW w:w="2161"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c>
          <w:tcPr>
            <w:tcW w:w="2163" w:type="dxa"/>
            <w:vAlign w:val="center"/>
          </w:tcPr>
          <w:p>
            <w:pPr>
              <w:pStyle w:val="Other|1"/>
              <w:spacing w:line="240" w:lineRule="auto"/>
              <w:ind w:firstLine="0" w:firstLineChars="0"/>
              <w:jc w:val="right"/>
              <w:rPr>
                <w:b w:val="0"/>
                <w:bCs w:val="0"/>
                <w:vertAlign w:val="baseline"/>
              </w:rPr>
            </w:pPr>
            <w:r>
              <w:rPr>
                <w:rFonts w:ascii="Times New Roman" w:hAnsi="Times New Roman" w:cs="Times New Roman" w:hint="eastAsia"/>
                <w:b w:val="0"/>
                <w:bCs w:val="0"/>
                <w:sz w:val="17"/>
                <w:szCs w:val="17"/>
                <w:lang w:val="en-US" w:eastAsia="zh-CN" w:bidi="en-US"/>
              </w:rPr>
              <w:t xml:space="preserve">0.00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bidi w:val="0"/>
              <w:jc w:val="both"/>
              <w:rPr>
                <w:vertAlign w:val="baseline"/>
              </w:rPr>
            </w:pPr>
            <w:r>
              <w:t xml:space="preserve">注：本报表金额单位转换时可能存在四舍五入尾数误差</w:t>
            </w:r>
          </w:p>
        </w:tc>
      </w:tr>
    </w:tbl>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pPr>
    </w:p>
    <w:p>
      <w:pPr>
        <w:pStyle w:val="Tablecaption|1"/>
        <w:bidi w:val="0"/>
        <w:jc w:val="center"/>
        <w:rPr>
          <w:sz w:val="28"/>
          <w:szCs w:val="28"/>
        </w:rPr>
      </w:pPr>
      <w:r>
        <w:rPr>
          <w:sz w:val="28"/>
          <w:szCs w:val="28"/>
        </w:rPr>
        <w:t xml:space="preserve">国有资本经营预算支出情况表</w:t>
      </w:r>
    </w:p>
    <w:p>
      <w:pPr>
        <w:pStyle w:val="Tablecaption|1"/>
        <w:bidi w:val="0"/>
        <w:jc w:val="center"/>
        <w:rPr>
          <w:sz w:val="28"/>
          <w:szCs w:val="28"/>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firstRow="0" w:lastRow="0" w:firstColumn="0" w:lastColumn="0" w:noHBand="1" w:noVBand="1"/>
      </w:tblPr>
      <w:tblGrid>
        <w:gridCol w:w="2527"/>
        <w:gridCol w:w="2161"/>
        <w:gridCol w:w="2162"/>
        <w:gridCol w:w="2222"/>
        <w:gridCol w:w="2161"/>
        <w:gridCol w:w="2161"/>
        <w:gridCol w:w="2163"/>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3394" w:type="dxa"/>
            <w:gridSpan w:val="6"/>
            <w:tcBorders>
              <w:top w:val="nil"/>
              <w:left w:val="nil"/>
              <w:right w:val="nil"/>
            </w:tcBorders>
          </w:tcPr>
          <w:p>
            <w:pPr>
              <w:pStyle w:val="Tablecaption|1"/>
              <w:tabs>
                <w:tab w:val="left" w:pos="14213"/>
              </w:tabs>
              <w:ind w:left="101"/>
              <w:jc w:val="left"/>
            </w:pPr>
            <w:r>
              <w:t xml:space="preserve">单位名称：</w:t>
            </w:r>
            <w:r>
              <w:rPr>
                <w:rFonts w:hint="eastAsia"/>
                <w:lang w:eastAsia="zh-CN"/>
              </w:rPr>
              <w:t xml:space="preserve">环江毛南族自治县中医医院</w:t>
            </w:r>
            <w:r>
              <w:tab/>
            </w:r>
            <w:r>
              <w:t xml:space="preserve">单位：万元</w:t>
            </w:r>
          </w:p>
        </w:tc>
        <w:tc>
          <w:tcPr>
            <w:tcW w:w="2163" w:type="dxa"/>
            <w:tcBorders>
              <w:top w:val="nil"/>
              <w:left w:val="nil"/>
              <w:right w:val="nil"/>
            </w:tcBorders>
          </w:tcPr>
          <w:p>
            <w:pPr>
              <w:pStyle w:val="Tablecaption|1"/>
              <w:tabs>
                <w:tab w:val="left" w:pos="14213"/>
              </w:tabs>
              <w:ind w:left="101"/>
              <w:jc w:val="left"/>
            </w:pPr>
            <w:r>
              <w:rPr>
                <w:rFonts w:ascii="宋体" w:eastAsia="宋体" w:hAnsi="宋体" w:cs="宋体" w:hint="eastAsia"/>
                <w:sz w:val="17"/>
                <w:szCs w:val="17"/>
              </w:rPr>
              <w:t xml:space="preserve">单位：万元</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val="restart"/>
          </w:tcPr>
          <w:p>
            <w:pPr>
              <w:pStyle w:val="Tablecaption|1"/>
              <w:bidi w:val="0"/>
              <w:jc w:val="center"/>
              <w:rPr>
                <w:vertAlign w:val="baseline"/>
              </w:rPr>
            </w:pPr>
            <w:r>
              <w:rPr>
                <w:sz w:val="17"/>
                <w:szCs w:val="17"/>
              </w:rPr>
              <w:t xml:space="preserve">科目编码</w:t>
            </w:r>
          </w:p>
        </w:tc>
        <w:tc>
          <w:tcPr>
            <w:tcW w:w="2161" w:type="dxa"/>
            <w:vMerge w:val="restart"/>
          </w:tcPr>
          <w:p>
            <w:pPr>
              <w:pStyle w:val="Tablecaption|1"/>
              <w:bidi w:val="0"/>
              <w:jc w:val="center"/>
              <w:rPr>
                <w:vertAlign w:val="baseline"/>
              </w:rPr>
            </w:pPr>
            <w:r>
              <w:rPr>
                <w:sz w:val="17"/>
                <w:szCs w:val="17"/>
              </w:rPr>
              <w:t xml:space="preserve">部门（单位）代码</w:t>
            </w:r>
          </w:p>
        </w:tc>
        <w:tc>
          <w:tcPr>
            <w:tcW w:w="2162" w:type="dxa"/>
            <w:vMerge w:val="restart"/>
          </w:tcPr>
          <w:p>
            <w:pPr>
              <w:pStyle w:val="Tablecaption|1"/>
              <w:bidi w:val="0"/>
              <w:jc w:val="center"/>
              <w:rPr>
                <w:vertAlign w:val="baseline"/>
              </w:rPr>
            </w:pPr>
            <w:r>
              <w:rPr>
                <w:sz w:val="17"/>
                <w:szCs w:val="17"/>
              </w:rPr>
              <w:t xml:space="preserve">部门（单位）名称（功能分类科目名称）</w:t>
            </w:r>
          </w:p>
        </w:tc>
        <w:tc>
          <w:tcPr>
            <w:tcW w:w="2222" w:type="dxa"/>
            <w:vAlign w:val="center"/>
          </w:tcPr>
          <w:p>
            <w:pPr>
              <w:pStyle w:val="Other|1"/>
              <w:spacing w:line="240" w:lineRule="auto"/>
              <w:ind w:firstLine="0" w:firstLineChars="0"/>
              <w:jc w:val="center"/>
              <w:rPr>
                <w:vertAlign w:val="baseline"/>
              </w:rPr>
            </w:pPr>
            <w:r>
              <w:rPr>
                <w:sz w:val="17"/>
                <w:szCs w:val="17"/>
              </w:rPr>
              <w:t xml:space="preserve">合计</w:t>
            </w:r>
          </w:p>
        </w:tc>
        <w:tc>
          <w:tcPr>
            <w:tcW w:w="2161" w:type="dxa"/>
            <w:vAlign w:val="center"/>
          </w:tcPr>
          <w:p>
            <w:pPr>
              <w:pStyle w:val="Other|1"/>
              <w:spacing w:line="240" w:lineRule="auto"/>
              <w:ind w:firstLine="0" w:firstLineChars="0"/>
              <w:jc w:val="center"/>
              <w:rPr>
                <w:vertAlign w:val="baseline"/>
              </w:rPr>
            </w:pPr>
            <w:r>
              <w:rPr>
                <w:sz w:val="17"/>
                <w:szCs w:val="17"/>
              </w:rPr>
              <w:t xml:space="preserve">基本支出</w:t>
            </w:r>
          </w:p>
        </w:tc>
        <w:tc>
          <w:tcPr>
            <w:tcW w:w="2161" w:type="dxa"/>
            <w:vAlign w:val="center"/>
          </w:tcPr>
          <w:p>
            <w:pPr>
              <w:pStyle w:val="Other|1"/>
              <w:spacing w:line="240" w:lineRule="auto"/>
              <w:ind w:firstLine="0" w:firstLineChars="0"/>
              <w:jc w:val="center"/>
              <w:rPr>
                <w:vertAlign w:val="baseline"/>
              </w:rPr>
            </w:pPr>
            <w:r>
              <w:rPr>
                <w:sz w:val="17"/>
                <w:szCs w:val="17"/>
              </w:rPr>
              <w:t xml:space="preserve">项目支出</w:t>
            </w:r>
          </w:p>
        </w:tc>
        <w:tc>
          <w:tcPr>
            <w:tcW w:w="2163" w:type="dxa"/>
            <w:vAlign w:val="center"/>
          </w:tcPr>
          <w:p>
            <w:pPr>
              <w:pStyle w:val="Other|1"/>
              <w:spacing w:line="240" w:lineRule="auto"/>
              <w:ind w:firstLine="0" w:firstLineChars="0"/>
              <w:jc w:val="center"/>
              <w:rPr>
                <w:vertAlign w:val="baseline"/>
              </w:rPr>
            </w:pPr>
            <w:r>
              <w:rPr>
                <w:sz w:val="17"/>
                <w:szCs w:val="17"/>
              </w:rPr>
              <w:t xml:space="preserve">结转下年支出</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vMerge/>
          </w:tcPr>
          <w:p>
            <w:pPr>
              <w:pStyle w:val="Tablecaption|1"/>
              <w:bidi w:val="0"/>
              <w:jc w:val="both"/>
              <w:rPr>
                <w:vertAlign w:val="baseline"/>
              </w:rPr>
            </w:pPr>
          </w:p>
        </w:tc>
        <w:tc>
          <w:tcPr>
            <w:tcW w:w="2161" w:type="dxa"/>
            <w:vMerge/>
          </w:tcPr>
          <w:p>
            <w:pPr>
              <w:pStyle w:val="Tablecaption|1"/>
              <w:bidi w:val="0"/>
              <w:jc w:val="both"/>
              <w:rPr>
                <w:vertAlign w:val="baseline"/>
              </w:rPr>
            </w:pPr>
          </w:p>
        </w:tc>
        <w:tc>
          <w:tcPr>
            <w:tcW w:w="2162" w:type="dxa"/>
            <w:vMerge/>
          </w:tcPr>
          <w:p>
            <w:pPr>
              <w:pStyle w:val="Tablecaption|1"/>
              <w:bidi w:val="0"/>
              <w:jc w:val="both"/>
              <w:rPr>
                <w:vertAlign w:val="baseline"/>
              </w:rPr>
            </w:pPr>
          </w:p>
        </w:tc>
        <w:tc>
          <w:tcPr>
            <w:tcW w:w="2222"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1</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2</w:t>
            </w:r>
          </w:p>
        </w:tc>
        <w:tc>
          <w:tcPr>
            <w:tcW w:w="2161"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3</w:t>
            </w:r>
          </w:p>
        </w:tc>
        <w:tc>
          <w:tcPr>
            <w:tcW w:w="2163" w:type="dxa"/>
            <w:vAlign w:val="center"/>
          </w:tcPr>
          <w:p>
            <w:pPr>
              <w:pStyle w:val="Other|1"/>
              <w:spacing w:line="240" w:lineRule="auto"/>
              <w:ind w:firstLine="0" w:firstLineChars="0"/>
              <w:jc w:val="center"/>
              <w:rPr>
                <w:vertAlign w:val="baseline"/>
              </w:rPr>
            </w:pPr>
            <w:r>
              <w:rPr>
                <w:rFonts w:ascii="Times New Roman" w:eastAsia="Times New Roman" w:hAnsi="Times New Roman" w:cs="Times New Roman"/>
                <w:b/>
                <w:bCs/>
                <w:sz w:val="17"/>
                <w:szCs w:val="17"/>
              </w:rPr>
              <w:t xml:space="preserve">4</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2527" w:type="dxa"/>
          </w:tcPr>
          <w:p>
            <w:pPr>
              <w:jc w:val="left"/>
              <w:rPr>
                <w:vertAlign w:val="baseline"/>
              </w:rPr>
            </w:pPr>
          </w:p>
        </w:tc>
        <w:tc>
          <w:tcPr>
            <w:tcW w:w="2161" w:type="dxa"/>
          </w:tcPr>
          <w:p>
            <w:pPr>
              <w:jc w:val="left"/>
              <w:rPr>
                <w:vertAlign w:val="baseline"/>
              </w:rPr>
            </w:pPr>
          </w:p>
        </w:tc>
        <w:tc>
          <w:tcPr>
            <w:tcW w:w="2162" w:type="dxa"/>
            <w:vAlign w:val="center"/>
          </w:tcPr>
          <w:p>
            <w:pPr>
              <w:pStyle w:val="Other|1"/>
              <w:spacing w:line="240" w:lineRule="auto"/>
              <w:ind w:firstLine="0" w:firstLineChars="0"/>
              <w:jc w:val="left"/>
              <w:rPr>
                <w:vertAlign w:val="baseline"/>
              </w:rPr>
            </w:pPr>
            <w:r>
              <w:rPr>
                <w:sz w:val="17"/>
                <w:szCs w:val="17"/>
              </w:rPr>
              <w:t xml:space="preserve">合计</w:t>
            </w:r>
          </w:p>
        </w:tc>
        <w:tc>
          <w:tcPr>
            <w:tcW w:w="2222" w:type="dxa"/>
            <w:vAlign w:val="center"/>
          </w:tcPr>
          <w:p>
            <w:pPr>
              <w:pStyle w:val="Other|1"/>
              <w:spacing w:line="240" w:lineRule="auto"/>
              <w:ind w:left="1700" w:firstLine="0" w:leftChars="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1"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c>
          <w:tcPr>
            <w:tcW w:w="2163" w:type="dxa"/>
            <w:vAlign w:val="center"/>
          </w:tcPr>
          <w:p>
            <w:pPr>
              <w:pStyle w:val="Other|1"/>
              <w:spacing w:line="240" w:lineRule="auto"/>
              <w:ind w:firstLine="0" w:firstLineChars="0"/>
              <w:jc w:val="right"/>
              <w:rPr>
                <w:vertAlign w:val="baseline"/>
              </w:rPr>
            </w:pPr>
            <w:r>
              <w:rPr>
                <w:rFonts w:ascii="Times New Roman" w:eastAsia="Times New Roman" w:hAnsi="Times New Roman" w:cs="Times New Roman"/>
                <w:b/>
                <w:bCs/>
                <w:sz w:val="17"/>
                <w:szCs w:val="17"/>
                <w:lang w:val="en-US" w:eastAsia="en-US" w:bidi="en-US"/>
              </w:rPr>
              <w:t xml:space="preserve">0.</w:t>
            </w:r>
            <w:r>
              <w:rPr>
                <w:rFonts w:ascii="Times New Roman" w:eastAsia="Times New Roman" w:hAnsi="Times New Roman" w:cs="Times New Roman"/>
                <w:b/>
                <w:bCs/>
                <w:sz w:val="17"/>
                <w:szCs w:val="17"/>
              </w:rPr>
              <w:t xml:space="preserve">00</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cantSplit/>
        </w:trPr>
        <w:tc>
          <w:tcPr>
            <w:tcW w:w="15557" w:type="dxa"/>
            <w:gridSpan w:val="7"/>
            <w:tcBorders>
              <w:left w:val="nil"/>
              <w:bottom w:val="nil"/>
              <w:right w:val="nil"/>
            </w:tcBorders>
          </w:tcPr>
          <w:p>
            <w:pPr>
              <w:pStyle w:val="Tablecaption|1"/>
              <w:spacing w:line="302" w:lineRule="exact"/>
              <w:ind w:left="672"/>
              <w:jc w:val="left"/>
            </w:pPr>
            <w:r>
              <w:t xml:space="preserve">注：本报表金额单位转换时可能存在四舍五入尾数误差。本部门</w:t>
            </w:r>
            <w:r>
              <w:rPr>
                <w:rFonts w:ascii="Times New Roman" w:hAnsi="Times New Roman" w:cs="Times New Roman" w:hint="eastAsia"/>
                <w:b/>
                <w:bCs/>
                <w:lang w:eastAsia="zh-CN"/>
              </w:rPr>
              <w:t xml:space="preserve">2024</w:t>
            </w:r>
            <w:r>
              <w:rPr>
                <w:rFonts w:ascii="Times New Roman" w:hAnsi="Times New Roman" w:cs="Times New Roman"/>
                <w:b/>
                <w:u w:color="auto"/>
              </w:rPr>
              <w:t xml:space="preserve">年</w:t>
            </w:r>
            <w:r>
              <w:t xml:space="preserve">度没有国有资本经营预算支出，故本表无数据</w:t>
            </w:r>
          </w:p>
          <w:p>
            <w:pPr>
              <w:pStyle w:val="Tablecaption|1"/>
              <w:bidi w:val="0"/>
              <w:jc w:val="both"/>
              <w:rPr>
                <w:vertAlign w:val="baseline"/>
              </w:rPr>
            </w:pPr>
          </w:p>
        </w:tc>
      </w:tr>
    </w:tbl>
    <w:p>
      <w:pPr>
        <w:pStyle w:val="Tablecaption|1"/>
        <w:bidi w:val="0"/>
      </w:pPr>
    </w:p>
    <w:p>
      <w:pPr/>
      <w:r>
        <w:br w:type="page"/>
      </w:r>
    </w:p>
    <w:p>
      <w:pPr>
        <w:pStyle w:val="Heading#2|1"/>
        <w:keepNext/>
        <w:keepLines/>
        <w:spacing w:after="240"/>
        <w:jc w:val="center"/>
        <w:rPr>
          <w:rFonts w:eastAsia="宋体" w:hint="default"/>
          <w:lang w:val="en-US" w:eastAsia="zh-CN"/>
        </w:rPr>
      </w:pPr>
      <w:r>
        <w:rPr>
          <w:rFonts w:hint="eastAsia"/>
          <w:lang w:val="en-US" w:eastAsia="zh-CN"/>
        </w:rPr>
        <w:t xml:space="preserve">2024年度预算项目绩效目标公开表</w:t>
      </w:r>
    </w:p>
    <w:tbl>
      <w:tblPr>
        <w:tblStyle w:val="NormalTable"/>
        <w:tblW w:w="0" w:type="auto"/>
        <w:tblInd w:w="0" w:type="dxa"/>
        <w:tblLayout w:type="fixed"/>
        <w:tblCellMar>
          <w:top w:w="0" w:type="dxa"/>
          <w:left w:w="10" w:type="dxa"/>
          <w:bottom w:w="0" w:type="dxa"/>
          <w:right w:w="10" w:type="dxa"/>
        </w:tblCellMar>
        <w:tblLook w:firstRow="0" w:lastRow="0" w:firstColumn="0" w:lastColumn="0" w:noHBand="1" w:noVBand="1"/>
      </w:tblPr>
      <w:tblGrid>
        <w:gridCol w:w="1843"/>
        <w:gridCol w:w="2559"/>
        <w:gridCol w:w="3350"/>
        <w:gridCol w:w="1511"/>
        <w:gridCol w:w="6076"/>
      </w:tblGrid>
      <w:tr>
        <w:tblPrEx>
          <w:tblW w:w="0" w:type="auto"/>
          <w:tblInd w:w="0" w:type="dxa"/>
          <w:tblLayout w:type="fixed"/>
          <w:tblCellMar>
            <w:top w:w="0" w:type="dxa"/>
            <w:left w:w="10" w:type="dxa"/>
            <w:bottom w:w="0" w:type="dxa"/>
            <w:right w:w="10" w:type="dxa"/>
          </w:tblCellMar>
        </w:tblPrEx>
        <w:trPr>
          <w:cantSplit/>
          <w:trHeight w:hRule="exact" w:val="346"/>
        </w:trPr>
        <w:tc>
          <w:tcPr>
            <w:tcW w:w="9263" w:type="dxa"/>
            <w:gridSpan w:val="4"/>
            <w:shd w:val="clear" w:color="auto" w:fill="FFFFFF"/>
          </w:tcPr>
          <w:p>
            <w:pPr>
              <w:pStyle w:val="Other|1"/>
              <w:spacing w:line="240" w:lineRule="auto"/>
              <w:ind w:firstLine="0"/>
              <w:jc w:val="left"/>
              <w:rPr>
                <w:rFonts w:ascii="宋体" w:eastAsia="宋体" w:hAnsi="宋体" w:cs="宋体" w:hint="default"/>
                <w:sz w:val="17"/>
                <w:szCs w:val="17"/>
                <w:lang w:val="en-US"/>
              </w:rPr>
            </w:pPr>
            <w:r>
              <w:rPr>
                <w:rFonts w:ascii="宋体" w:eastAsia="宋体" w:hAnsi="宋体" w:cs="宋体" w:hint="eastAsia"/>
                <w:sz w:val="17"/>
                <w:szCs w:val="17"/>
              </w:rPr>
              <w:t xml:space="preserve">单位名称：</w:t>
            </w:r>
            <w:r>
              <w:rPr>
                <w:rFonts w:ascii="宋体" w:eastAsia="宋体" w:hAnsi="宋体" w:cs="宋体" w:hint="eastAsia"/>
                <w:sz w:val="17"/>
                <w:szCs w:val="17"/>
                <w:lang w:eastAsia="zh-CN"/>
              </w:rPr>
              <w:t xml:space="preserve">环江毛南族自治县中医医院</w:t>
            </w:r>
          </w:p>
        </w:tc>
        <w:tc>
          <w:tcPr>
            <w:tcW w:w="6076" w:type="dxa"/>
            <w:shd w:val="clear" w:color="auto" w:fill="FFFFFF"/>
          </w:tcPr>
          <w:p>
            <w:pPr>
              <w:pStyle w:val="Other|1"/>
              <w:spacing w:line="240" w:lineRule="auto"/>
              <w:ind w:firstLine="4760" w:firstLineChars="2800"/>
              <w:jc w:val="left"/>
              <w:rPr>
                <w:rFonts w:ascii="宋体" w:eastAsia="宋体" w:hAnsi="宋体" w:cs="宋体" w:hint="eastAsia"/>
                <w:sz w:val="17"/>
                <w:szCs w:val="17"/>
              </w:rPr>
            </w:pPr>
            <w:r>
              <w:rPr>
                <w:rFonts w:ascii="宋体" w:eastAsia="宋体" w:hAnsi="宋体" w:cs="宋体" w:hint="eastAsia"/>
                <w:sz w:val="17"/>
                <w:szCs w:val="17"/>
              </w:rPr>
              <w:t xml:space="preserve">单位：万元</w:t>
            </w:r>
          </w:p>
        </w:tc>
      </w:tr>
      <w:tr>
        <w:tblPrEx>
          <w:tblW w:w="0" w:type="auto"/>
          <w:tblInd w:w="0" w:type="dxa"/>
          <w:tblLayout w:type="fixed"/>
          <w:tblCellMar>
            <w:top w:w="0" w:type="dxa"/>
            <w:left w:w="10" w:type="dxa"/>
            <w:bottom w:w="0" w:type="dxa"/>
            <w:right w:w="10" w:type="dxa"/>
          </w:tblCellMar>
        </w:tblPrEx>
        <w:trPr>
          <w:cantSplit/>
          <w:trHeight w:hRule="exact" w:val="854"/>
        </w:trPr>
        <w:tc>
          <w:tcPr>
            <w:tcW w:w="1843"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sz w:val="17"/>
                <w:u w:color="auto"/>
              </w:rPr>
              <w:t xml:space="preserve">单位代码</w:t>
            </w:r>
          </w:p>
        </w:tc>
        <w:tc>
          <w:tcPr>
            <w:tcW w:w="2559"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24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单位名称</w:t>
            </w:r>
          </w:p>
        </w:tc>
        <w:tc>
          <w:tcPr>
            <w:tcW w:w="3350"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项目名称</w:t>
            </w:r>
          </w:p>
        </w:tc>
        <w:tc>
          <w:tcPr>
            <w:tcW w:w="1511" w:type="dxa"/>
            <w:tcBorders>
              <w:top w:val="single" w:sz="4" w:space="0" w:color="auto"/>
              <w:left w:val="single" w:sz="4" w:space="0" w:color="auto"/>
              <w:bottom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预算金额</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center"/>
              <w:rPr>
                <w:rFonts w:ascii="宋体" w:eastAsia="宋体" w:hAnsi="宋体" w:cs="宋体" w:hint="eastAsia"/>
                <w:sz w:val="17"/>
                <w:szCs w:val="17"/>
                <w:lang w:val="en-US" w:eastAsia="zh-CN"/>
              </w:rPr>
            </w:pPr>
            <w:r>
              <w:rPr>
                <w:rFonts w:ascii="宋体" w:eastAsia="宋体" w:hAnsi="宋体" w:cs="宋体" w:hint="eastAsia"/>
                <w:sz w:val="17"/>
                <w:szCs w:val="17"/>
                <w:lang w:val="en-US" w:eastAsia="zh-CN"/>
              </w:rPr>
              <w:t xml:space="preserve">年度绩效目标</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环江毛南族自治县中医医院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医疗支出</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1078.00</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年内按计划进行</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环江毛南族自治县中医医院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安全生产</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0.95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年内按计划进行</w:t>
            </w:r>
          </w:p>
        </w:tc>
      </w:tr>
      <w:tr>
        <w:tblPrEx>
          <w:tblW w:w="0" w:type="auto"/>
          <w:tblInd w:w="0" w:type="dxa"/>
          <w:tblLayout w:type="fixed"/>
          <w:tblCellMar>
            <w:top w:w="0" w:type="dxa"/>
            <w:left w:w="10" w:type="dxa"/>
            <w:bottom w:w="0" w:type="dxa"/>
            <w:right w:w="10" w:type="dxa"/>
          </w:tblCellMar>
        </w:tblPrEx>
        <w:trPr>
          <w:cantSplit/>
          <w:trHeight w:hRule="exact" w:val="437"/>
        </w:trPr>
        <w:tc>
          <w:tcPr>
            <w:tcW w:w="1843"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402018</w:t>
            </w:r>
          </w:p>
        </w:tc>
        <w:tc>
          <w:tcPr>
            <w:tcW w:w="2559" w:type="dxa"/>
            <w:tcBorders>
              <w:top w:val="single" w:sz="4" w:space="0" w:color="auto"/>
              <w:left w:val="single" w:sz="4" w:space="0" w:color="auto"/>
              <w:bottom w:val="single" w:sz="4" w:space="0" w:color="auto"/>
              <w:right w:val="single" w:sz="4" w:space="0" w:color="auto"/>
            </w:tcBorders>
            <w:shd w:val="clear" w:color="auto" w:fill="FFFFFF"/>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环江毛南族自治县中医医院</w:t>
            </w:r>
          </w:p>
        </w:tc>
        <w:tc>
          <w:tcPr>
            <w:tcW w:w="3350"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民族团结工作经费</w:t>
            </w:r>
          </w:p>
        </w:tc>
        <w:tc>
          <w:tcPr>
            <w:tcW w:w="1511"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lef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0.35</w:t>
            </w:r>
          </w:p>
        </w:tc>
        <w:tc>
          <w:tcPr>
            <w:tcW w:w="6076" w:type="dxa"/>
            <w:tcBorders>
              <w:top w:val="single" w:sz="4" w:space="0" w:color="auto"/>
              <w:left w:val="single" w:sz="4" w:space="0" w:color="auto"/>
              <w:bottom w:val="single" w:sz="4" w:space="0" w:color="auto"/>
              <w:right w:val="single" w:sz="4" w:space="0" w:color="auto"/>
            </w:tcBorders>
            <w:shd w:val="clear" w:color="auto" w:fill="FFFFFF"/>
            <w:vAlign w:val="center"/>
          </w:tcPr>
          <w:p>
            <w:pPr>
              <w:pStyle w:val="Other|1"/>
              <w:spacing w:line="240" w:lineRule="auto"/>
              <w:ind w:firstLine="0"/>
              <w:jc w:val="right"/>
              <w:rPr>
                <w:rFonts w:ascii="宋体" w:eastAsia="宋体" w:hAnsi="宋体" w:cs="宋体" w:hint="eastAsia"/>
                <w:b/>
                <w:bCs/>
                <w:sz w:val="17"/>
                <w:szCs w:val="17"/>
                <w:lang w:val="en-US" w:eastAsia="zh-CN"/>
              </w:rPr>
            </w:pPr>
            <w:r>
              <w:rPr>
                <w:rFonts w:ascii="宋体" w:eastAsia="宋体" w:hAnsi="宋体" w:cs="宋体" w:hint="eastAsia"/>
                <w:b/>
                <w:bCs/>
                <w:sz w:val="17"/>
                <w:szCs w:val="17"/>
                <w:lang w:val="en-US" w:eastAsia="zh-CN"/>
              </w:rPr>
              <w:t xml:space="preserve">年内按计划进行</w:t>
            </w:r>
          </w:p>
        </w:tc>
      </w:tr>
    </w:tbl>
    <w:p>
      <w:pPr>
        <w:jc w:val="left"/>
        <w:rPr>
          <w:rFonts w:hint="eastAsia"/>
        </w:rPr>
      </w:pPr>
      <w:r>
        <w:t xml:space="preserve">注：本报表金额单位转换时可能存在四舍五入尾数误差。</w:t>
      </w:r>
    </w:p>
    <w:p>
      <w:pPr>
        <w:jc w:val="left"/>
        <w:rPr>
          <w:rFonts w:hint="eastAsia"/>
          <w:lang w:eastAsia="zh-CN"/>
        </w:rPr>
        <w:sectPr>
          <w:headerReference w:type="default" r:id="rId20"/>
          <w:footerReference w:type="default" r:id="rId21"/>
          <w:pgSz w:w="16840" w:h="11900" w:orient="landscape"/>
          <w:pgMar w:top="2714" w:right="764" w:bottom="2714" w:left="735" w:header="2286" w:footer="1474" w:gutter="0"/>
          <w:pgBorders>
            <w:top w:val="none" w:sz="0" w:space="0" w:color="auto"/>
            <w:left w:val="none" w:sz="0" w:space="0" w:color="auto"/>
            <w:bottom w:val="none" w:sz="0" w:space="0" w:color="auto"/>
            <w:right w:val="none" w:sz="0" w:space="0" w:color="auto"/>
          </w:pgBorders>
          <w:pgNumType w:fmt="decimal"/>
          <w:cols w:num="1" w:space="720">
            <w:col w:w="15341" w:space="720"/>
          </w:cols>
          <w:docGrid w:linePitch="360" w:charSpace="0"/>
        </w:sectPr>
      </w:pPr>
    </w:p>
    <w:p>
      <w:pPr>
        <w:pStyle w:val="Heading#1|1"/>
        <w:keepNext/>
        <w:keepLines/>
        <w:spacing w:before="200" w:after="0"/>
        <w:jc w:val="center"/>
        <w:rPr>
          <w:sz w:val="40"/>
          <w:szCs w:val="40"/>
        </w:rPr>
      </w:pPr>
      <w:bookmarkStart w:id="32" w:name="bookmark94"/>
      <w:bookmarkStart w:id="33" w:name="bookmark95"/>
      <w:bookmarkStart w:id="34" w:name="bookmark96"/>
      <w:r>
        <w:rPr>
          <w:sz w:val="40"/>
          <w:szCs w:val="40"/>
        </w:rPr>
        <w:t xml:space="preserve">第四部</w:t>
      </w:r>
      <w:r>
        <w:rPr>
          <w:sz w:val="40"/>
          <w:szCs w:val="40"/>
        </w:rPr>
        <w:t xml:space="preserve">分名词解释</w:t>
      </w:r>
      <w:bookmarkEnd w:id="32"/>
      <w:bookmarkEnd w:id="33"/>
      <w:bookmarkEnd w:id="34"/>
    </w:p>
    <w:p>
      <w:pPr>
        <w:pStyle w:val="Bodytext|1"/>
        <w:tabs>
          <w:tab w:val="left" w:pos="1270"/>
        </w:tabs>
        <w:spacing w:line="626" w:lineRule="exact"/>
        <w:ind w:firstLine="640"/>
        <w:jc w:val="left"/>
      </w:pPr>
      <w:bookmarkStart w:id="35" w:name="bookmark97"/>
      <w:r>
        <w:t xml:space="preserve">一</w:t>
      </w:r>
      <w:bookmarkEnd w:id="35"/>
      <w:r>
        <w:t xml:space="preserve">、</w:t>
      </w:r>
      <w:r>
        <w:tab/>
      </w:r>
      <w:r>
        <w:t xml:space="preserve">财政拨款收入：指预算单位从本级财政部门取得的财政预算资金收入。</w:t>
      </w:r>
    </w:p>
    <w:p>
      <w:pPr>
        <w:pStyle w:val="Bodytext|1"/>
        <w:tabs>
          <w:tab w:val="left" w:pos="1280"/>
        </w:tabs>
        <w:spacing w:line="626" w:lineRule="exact"/>
        <w:ind w:firstLine="640"/>
        <w:jc w:val="left"/>
      </w:pPr>
      <w:bookmarkStart w:id="36" w:name="bookmark98"/>
      <w:r>
        <w:t xml:space="preserve">二</w:t>
      </w:r>
      <w:bookmarkEnd w:id="36"/>
      <w:r>
        <w:t xml:space="preserve">、</w:t>
      </w:r>
      <w:r>
        <w:tab/>
      </w:r>
      <w:r>
        <w:t xml:space="preserve">事业收入：指事业单位开展专业业务活动及辅助活动所取得的收入。</w:t>
      </w:r>
    </w:p>
    <w:p>
      <w:pPr>
        <w:pStyle w:val="Bodytext|1"/>
        <w:tabs>
          <w:tab w:val="left" w:pos="1275"/>
        </w:tabs>
        <w:spacing w:line="626" w:lineRule="exact"/>
        <w:ind w:firstLine="640"/>
        <w:jc w:val="left"/>
      </w:pPr>
      <w:bookmarkStart w:id="37" w:name="bookmark99"/>
      <w:r>
        <w:t xml:space="preserve">三</w:t>
      </w:r>
      <w:bookmarkEnd w:id="37"/>
      <w:r>
        <w:t xml:space="preserve">、</w:t>
      </w:r>
      <w:r>
        <w:tab/>
      </w:r>
      <w:r>
        <w:t xml:space="preserve">经营收入：指事业单位在专业业务活动及其辅助活动之外开展非独立核算经营活动取得的收入。</w:t>
      </w:r>
    </w:p>
    <w:p>
      <w:pPr>
        <w:pStyle w:val="Bodytext|1"/>
        <w:tabs>
          <w:tab w:val="left" w:pos="1309"/>
        </w:tabs>
        <w:spacing w:line="626" w:lineRule="exact"/>
        <w:ind w:firstLine="640"/>
        <w:jc w:val="left"/>
      </w:pPr>
      <w:bookmarkStart w:id="38" w:name="bookmark100"/>
      <w:r>
        <w:t xml:space="preserve">四</w:t>
      </w:r>
      <w:bookmarkEnd w:id="38"/>
      <w:r>
        <w:t xml:space="preserve">、</w:t>
      </w:r>
      <w:r>
        <w:tab/>
      </w:r>
      <w:r>
        <w:t xml:space="preserve">其他收入：指除上述</w:t>
      </w:r>
      <w:r>
        <w:rPr>
          <w:lang w:val="zh-CN" w:eastAsia="zh-CN" w:bidi="zh-CN"/>
        </w:rPr>
        <w:t xml:space="preserve">“财</w:t>
      </w:r>
      <w:r>
        <w:t xml:space="preserve">政拨款收入”、</w:t>
      </w:r>
      <w:r>
        <w:rPr>
          <w:lang w:val="zh-CN" w:eastAsia="zh-CN" w:bidi="zh-CN"/>
        </w:rPr>
        <w:t xml:space="preserve">“事</w:t>
      </w:r>
      <w:r>
        <w:t xml:space="preserve">业收入"、</w:t>
      </w:r>
      <w:r>
        <w:rPr>
          <w:lang w:val="zh-CN" w:eastAsia="zh-CN" w:bidi="zh-CN"/>
        </w:rPr>
        <w:t xml:space="preserve">“经营</w:t>
      </w:r>
      <w:r>
        <w:t xml:space="preserve">收入"等以外的收入。主要是非本级财政拨款、存款利息收入、事业单位固定资产出租收入等。</w:t>
      </w:r>
    </w:p>
    <w:p>
      <w:pPr>
        <w:pStyle w:val="Bodytext|1"/>
        <w:tabs>
          <w:tab w:val="left" w:pos="1275"/>
        </w:tabs>
        <w:spacing w:line="626" w:lineRule="exact"/>
        <w:ind w:firstLine="640"/>
        <w:jc w:val="left"/>
      </w:pPr>
      <w:bookmarkStart w:id="39" w:name="bookmark101"/>
      <w:r>
        <w:t xml:space="preserve">五</w:t>
      </w:r>
      <w:bookmarkEnd w:id="39"/>
      <w:r>
        <w:t xml:space="preserve">、</w:t>
      </w:r>
      <w:r>
        <w:tab/>
      </w:r>
      <w:r>
        <w:t xml:space="preserve">用事业基金弥补收支差额：指事业单位在用当年的</w:t>
      </w:r>
      <w:r>
        <w:rPr>
          <w:lang w:val="zh-CN" w:eastAsia="zh-CN" w:bidi="zh-CN"/>
        </w:rPr>
        <w:t xml:space="preserve">“财</w:t>
      </w:r>
      <w:r>
        <w:t xml:space="preserve">政拨款收入"、</w:t>
      </w:r>
      <w:r>
        <w:rPr>
          <w:lang w:val="zh-CN" w:eastAsia="zh-CN" w:bidi="zh-CN"/>
        </w:rPr>
        <w:t xml:space="preserve">“事业</w:t>
      </w:r>
      <w:r>
        <w:t xml:space="preserve">收入"、</w:t>
      </w:r>
      <w:r>
        <w:rPr>
          <w:lang w:val="zh-CN" w:eastAsia="zh-CN" w:bidi="zh-CN"/>
        </w:rPr>
        <w:t xml:space="preserve">“经营</w:t>
      </w:r>
      <w:r>
        <w:t xml:space="preserve">收入"、</w:t>
      </w:r>
      <w:r>
        <w:rPr>
          <w:lang w:val="zh-CN" w:eastAsia="zh-CN" w:bidi="zh-CN"/>
        </w:rPr>
        <w:t xml:space="preserve">“其他</w:t>
      </w:r>
      <w:r>
        <w:t xml:space="preserve">收入"不足以安排当年支出的情况下，使用以前年度积累的事业基金（事业单位当年收支相抵后按国家规定提取、用于弥补以后年度收支差额的基金）弥补本年度收支缺口的资金。</w:t>
      </w:r>
    </w:p>
    <w:p>
      <w:pPr>
        <w:pStyle w:val="Bodytext|1"/>
        <w:tabs>
          <w:tab w:val="left" w:pos="1270"/>
        </w:tabs>
        <w:spacing w:line="626" w:lineRule="exact"/>
        <w:ind w:firstLine="640"/>
        <w:jc w:val="left"/>
      </w:pPr>
      <w:bookmarkStart w:id="40" w:name="bookmark102"/>
      <w:r>
        <w:t xml:space="preserve">六</w:t>
      </w:r>
      <w:bookmarkEnd w:id="40"/>
      <w:r>
        <w:t xml:space="preserve">、</w:t>
      </w:r>
      <w:r>
        <w:tab/>
      </w:r>
      <w:r>
        <w:t xml:space="preserve">年初结转和结余：指以前年度尚未完成、结转到本年按有关规定继续使用的资金。</w:t>
      </w:r>
    </w:p>
    <w:p>
      <w:pPr>
        <w:pStyle w:val="Bodytext|1"/>
        <w:tabs>
          <w:tab w:val="left" w:pos="1275"/>
        </w:tabs>
        <w:spacing w:line="626" w:lineRule="exact"/>
        <w:ind w:firstLine="640"/>
        <w:jc w:val="left"/>
      </w:pPr>
      <w:bookmarkStart w:id="41" w:name="bookmark103"/>
      <w:r>
        <w:t xml:space="preserve">七</w:t>
      </w:r>
      <w:bookmarkEnd w:id="41"/>
      <w:r>
        <w:t xml:space="preserve">、</w:t>
      </w:r>
      <w:r>
        <w:tab/>
      </w:r>
      <w:r>
        <w:t xml:space="preserve">结余分配：指事业单位按规定提取的职工福利基金、事业基金和缴纳的所得税，以及建设单位按规定应交回的基本建设竣工项目结余资金。</w:t>
      </w:r>
    </w:p>
    <w:p>
      <w:pPr>
        <w:pStyle w:val="Bodytext|1"/>
        <w:tabs>
          <w:tab w:val="left" w:pos="632"/>
        </w:tabs>
        <w:spacing w:line="626" w:lineRule="exact"/>
        <w:ind w:firstLine="640"/>
        <w:jc w:val="left"/>
      </w:pPr>
      <w:bookmarkStart w:id="42" w:name="bookmark104"/>
      <w:r>
        <w:t xml:space="preserve">八</w:t>
      </w:r>
      <w:bookmarkEnd w:id="42"/>
      <w:r>
        <w:t xml:space="preserve">、</w:t>
      </w:r>
      <w:r>
        <w:tab/>
      </w:r>
      <w:r>
        <w:t xml:space="preserve">年末结转和结余：指本年度或以前年度预算安排、因客观条件发生变化无法按原计划实施，需要延迟到以后年度按有关规定继续使用的资金。</w:t>
      </w:r>
    </w:p>
    <w:p>
      <w:pPr>
        <w:pStyle w:val="Bodytext|1"/>
        <w:spacing w:line="628" w:lineRule="exact"/>
        <w:ind w:firstLine="640"/>
        <w:jc w:val="left"/>
      </w:pPr>
      <w:bookmarkStart w:id="43" w:name="bookmark105"/>
      <w:r>
        <w:t xml:space="preserve">九</w:t>
      </w:r>
      <w:bookmarkEnd w:id="43"/>
      <w:r>
        <w:t xml:space="preserve">、基本支出：指为保障机构正常运转、完成日常工作任务而发生的人员支出和公用支出。</w:t>
      </w:r>
    </w:p>
    <w:p>
      <w:pPr>
        <w:pStyle w:val="Bodytext|1"/>
        <w:spacing w:line="628" w:lineRule="exact"/>
        <w:ind w:firstLine="640"/>
        <w:jc w:val="left"/>
      </w:pPr>
      <w:r>
        <w:t xml:space="preserve">十、项目支出：指在基本支出之外为完成特定行政任务和事业发展目标所发生的支出。</w:t>
      </w:r>
    </w:p>
    <w:p>
      <w:pPr>
        <w:pStyle w:val="Bodytext|1"/>
        <w:spacing w:line="628" w:lineRule="exact"/>
        <w:ind w:firstLine="640"/>
        <w:jc w:val="left"/>
      </w:pPr>
      <w:r>
        <w:t xml:space="preserve">十一、经营支出：指事业单位在专业业务活动及其辅助活动之外开展非独立核算经营活动所发生的支出。</w:t>
      </w:r>
    </w:p>
    <w:p>
      <w:pPr>
        <w:pStyle w:val="Bodytext|1"/>
        <w:spacing w:line="628" w:lineRule="exact"/>
        <w:ind w:firstLine="640"/>
        <w:jc w:val="left"/>
      </w:pPr>
      <w:r>
        <w:t xml:space="preserve">十二、</w:t>
      </w:r>
      <w:r>
        <w:rPr>
          <w:lang w:val="zh-CN" w:eastAsia="zh-CN" w:bidi="zh-CN"/>
        </w:rPr>
        <w:t xml:space="preserve">“三</w:t>
      </w:r>
      <w:r>
        <w:t xml:space="preserve">公”经费：纳入财政预决算管理的</w:t>
      </w:r>
      <w:r>
        <w:rPr>
          <w:lang w:val="zh-CN" w:eastAsia="zh-CN" w:bidi="zh-CN"/>
        </w:rPr>
        <w:t xml:space="preserve">“三公</w:t>
      </w:r>
      <w:r>
        <w:t xml:space="preserve">”经费，是指市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Bodytext|1"/>
        <w:spacing w:line="628" w:lineRule="exact"/>
        <w:ind w:firstLine="640"/>
        <w:jc w:val="left"/>
      </w:pPr>
      <w:r>
        <w:t xml:space="preserve">十三、机关运行经费：为保障行政单位（含参照公务员法管理的事业单位、机关服务中心）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headerReference w:type="default" r:id="rId22"/>
      <w:footerReference w:type="default" r:id="rId23"/>
      <w:type w:val="continuous"/>
      <w:pgSz w:w="11900" w:h="16840" w:orient="portrait"/>
      <w:pgMar w:top="1302" w:right="1735" w:bottom="1568" w:left="1793" w:header="874" w:footer="1077" w:gutter="0"/>
      <w:pgBorders>
        <w:top w:val="none" w:sz="0" w:space="0" w:color="auto"/>
        <w:left w:val="none" w:sz="0" w:space="0" w:color="auto"/>
        <w:bottom w:val="none" w:sz="0" w:space="0" w:color="auto"/>
        <w:right w:val="none" w:sz="0" w:space="0" w:color="auto"/>
      </w:pgBorders>
      <w:pgNumType w:fmt="decimal"/>
      <w:cols w:num="1" w:space="720">
        <w:col w:w="8372" w:space="720"/>
      </w:cols>
      <w:docGrid w:linePitch="360"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9" name="文本框 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2" o:spid="_x0000_s1317"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131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w:t>
                    </w:r>
                    <w:r>
                      <w:fldChar w:fldCharType="end"/>
                    </w:r>
                  </w:p>
                </w:txbxContent>
              </v:textbox>
            </v:shape>
          </w:pict>
        </mc:Fallback>
      </mc:AlternateContent>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2336" behindDoc="0" locked="0" layoutInCell="1" allowOverlap="1">
              <wp:simplePos x="0" y="0"/>
              <wp:positionH relativeFrom="margin">
                <wp:posOffset>2574925</wp:posOffset>
              </wp:positionH>
              <wp:positionV relativeFrom="paragraph">
                <wp:posOffset>0</wp:posOffset>
              </wp:positionV>
              <wp:extent cx="394970" cy="168910"/>
              <wp:effectExtent l="0" t="0" r="0" b="0"/>
              <wp:wrapNone/>
              <wp:docPr id="187" name="文本框 4"/>
              <wp:cNvGraphicFramePr>
                <a:graphicFrameLocks noChangeAspect="0"/>
              </wp:cNvGraphicFramePr>
              <a:graphic>
                <a:graphicData uri="http://schemas.microsoft.com/office/word/2010/wordprocessingShape">
                  <wps:wsp>
                    <wps:cNvSpPr/>
                    <wps:spPr>
                      <a:xfrm>
                        <a:off x="0" y="0"/>
                        <a:ext cx="394970" cy="16891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4</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4" o:spid="_x0000_s1319" type="#_x0000_t202" style="height:13.3pt;margin-left:202.75pt;margin-top:0;mso-height-relative:page;mso-position-horizontal-relative:margin;mso-width-relative:page;mso-wrap-distance-bottom:0;mso-wrap-distance-left:9pt;mso-wrap-distance-right:9pt;mso-wrap-distance-top:0;mso-wrap-style:square;position:absolute;v-text-anchor:top;width:31.1pt;z-index:251662336"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4</w:t>
                    </w:r>
                    <w:r>
                      <w:fldChar w:fldCharType="end"/>
                    </w:r>
                  </w:p>
                </w:txbxContent>
              </v:textbox>
            </v:shape>
          </w:pict>
        </mc:Fallback>
      </mc:AlternateContent>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3360" behindDoc="0" locked="0" layoutInCell="1" allowOverlap="1">
              <wp:simplePos x="0" y="0"/>
              <wp:positionH relativeFrom="margin">
                <wp:posOffset>4810125</wp:posOffset>
              </wp:positionH>
              <wp:positionV relativeFrom="paragraph">
                <wp:posOffset>0</wp:posOffset>
              </wp:positionV>
              <wp:extent cx="440055" cy="206375"/>
              <wp:effectExtent l="0" t="0" r="0" b="0"/>
              <wp:wrapNone/>
              <wp:docPr id="189" name="文本框 7"/>
              <wp:cNvGraphicFramePr>
                <a:graphicFrameLocks noChangeAspect="0"/>
              </wp:cNvGraphicFramePr>
              <a:graphic>
                <a:graphicData uri="http://schemas.microsoft.com/office/word/2010/wordprocessingShape">
                  <wps:wsp>
                    <wps:cNvSpPr/>
                    <wps:spPr>
                      <a:xfrm>
                        <a:off x="0" y="0"/>
                        <a:ext cx="440055" cy="20637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15</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7" o:spid="_x0000_s1321" type="#_x0000_t202" style="height:16.25pt;margin-left:378.75pt;margin-top:0;mso-height-relative:page;mso-position-horizontal-relative:margin;mso-width-relative:page;mso-wrap-distance-bottom:0;mso-wrap-distance-left:9pt;mso-wrap-distance-right:9pt;mso-wrap-distance-top:0;mso-wrap-style:square;position:absolute;v-text-anchor:top;width:34.65pt;z-index:251663360"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15</w:t>
                    </w:r>
                    <w:r>
                      <w:fldChar w:fldCharType="end"/>
                    </w:r>
                  </w:p>
                </w:txbxContent>
              </v:textbox>
            </v:shape>
          </w:pict>
        </mc:Fallback>
      </mc:AlternateContent>
    </w: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4384" behindDoc="0" locked="0" layoutInCell="1" allowOverlap="1">
              <wp:simplePos x="0" y="0"/>
              <wp:positionH relativeFrom="margin">
                <wp:posOffset>4538345</wp:posOffset>
              </wp:positionH>
              <wp:positionV relativeFrom="paragraph">
                <wp:posOffset>-151765</wp:posOffset>
              </wp:positionV>
              <wp:extent cx="478790" cy="323215"/>
              <wp:effectExtent l="0" t="0" r="0" b="0"/>
              <wp:wrapNone/>
              <wp:docPr id="190" name="文本框 9"/>
              <wp:cNvGraphicFramePr>
                <a:graphicFrameLocks noChangeAspect="0"/>
              </wp:cNvGraphicFramePr>
              <a:graphic>
                <a:graphicData uri="http://schemas.microsoft.com/office/word/2010/wordprocessingShape">
                  <wps:wsp>
                    <wps:cNvSpPr/>
                    <wps:spPr>
                      <a:xfrm>
                        <a:off x="0" y="0"/>
                        <a:ext cx="478790" cy="323215"/>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16</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9" o:spid="_x0000_s1322" type="#_x0000_t202" style="height:25.45pt;margin-left:357.35pt;margin-top:-11.95pt;mso-height-relative:page;mso-position-horizontal-relative:margin;mso-width-relative:page;mso-wrap-distance-bottom:0;mso-wrap-distance-left:9pt;mso-wrap-distance-right:9pt;mso-wrap-distance-top:0;mso-wrap-style:square;position:absolute;v-text-anchor:top;width:37.7pt;z-index:251664384"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16</w:t>
                    </w:r>
                    <w:r>
                      <w:fldChar w:fldCharType="end"/>
                    </w:r>
                  </w:p>
                </w:txbxContent>
              </v:textbox>
            </v:shape>
          </w:pict>
        </mc:Fallback>
      </mc:AlternateContent>
    </w: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5408" behindDoc="0" locked="0" layoutInCell="1" allowOverlap="1">
              <wp:simplePos x="0" y="0"/>
              <wp:positionH relativeFrom="margin">
                <wp:posOffset>4473575</wp:posOffset>
              </wp:positionH>
              <wp:positionV relativeFrom="paragraph">
                <wp:posOffset>-86360</wp:posOffset>
              </wp:positionV>
              <wp:extent cx="447040" cy="267970"/>
              <wp:effectExtent l="0" t="0" r="0" b="0"/>
              <wp:wrapNone/>
              <wp:docPr id="191" name="文本框 11"/>
              <wp:cNvGraphicFramePr>
                <a:graphicFrameLocks noChangeAspect="0"/>
              </wp:cNvGraphicFramePr>
              <a:graphic>
                <a:graphicData uri="http://schemas.microsoft.com/office/word/2010/wordprocessingShape">
                  <wps:wsp>
                    <wps:cNvSpPr/>
                    <wps:spPr>
                      <a:xfrm>
                        <a:off x="0" y="0"/>
                        <a:ext cx="447040" cy="26797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17</w:t>
                          </w:r>
                          <w:r>
                            <w:fldChar w:fldCharType="end"/>
                          </w:r>
                        </w:p>
                      </w:txbxContent>
                    </wps:txbx>
                    <wps:bodyPr rot="0" spcFirstLastPara="0" vertOverflow="overflow" horzOverflow="overflow" vert="horz" wrap="square" lIns="0" tIns="0" rIns="0" bIns="0" numCol="1" rtlCol="0" anchor="t" upright="0">
                      <a:noAutofit/>
                    </wps:bodyPr>
                  </wps:wsp>
                </a:graphicData>
              </a:graphic>
            </wp:anchor>
          </w:drawing>
        </mc:Choice>
        <mc:Fallback>
          <w:pict>
            <v:shape id="文本框 11" o:spid="_x0000_s1323" type="#_x0000_t202" style="height:21.1pt;margin-left:352.25pt;margin-top:-6.8pt;mso-height-relative:page;mso-position-horizontal-relative:margin;mso-width-relative:page;mso-wrap-distance-bottom:0;mso-wrap-distance-left:9pt;mso-wrap-distance-right:9pt;mso-wrap-distance-top:0;mso-wrap-style:square;position:absolute;v-text-anchor:top;width:35.2pt;z-index:251665408" coordsize="21600,21600" filled="f" stroked="f" strokeweight="0.5pt">
              <w10:bordertop type="none" width="0"/>
              <w10:borderleft type="none" width="0"/>
              <w10:borderbottom type="none" width="0"/>
              <w10:borderright type="none" width="0"/>
              <v:textbox style="layout-flow:horizontal" inset="0,0,0,0">
                <w:txbxContent>
                  <w:p>
                    <w:pPr>
                      <w:pStyle w:val="Footer"/>
                    </w:pPr>
                    <w:r>
                      <w:fldChar w:fldCharType="begin"/>
                    </w:r>
                    <w:r>
                      <w:instrText xml:space="preserve"> PAGE  \* MERGEFORMAT </w:instrText>
                    </w:r>
                    <w:r>
                      <w:fldChar w:fldCharType="separate"/>
                    </w:r>
                    <w:r>
                      <w:t xml:space="preserve">17</w:t>
                    </w:r>
                    <w:r>
                      <w:fldChar w:fldCharType="end"/>
                    </w:r>
                  </w:p>
                </w:txbxContent>
              </v:textbox>
            </v:shape>
          </w:pict>
        </mc:Fallback>
      </mc:AlternateContent>
    </w:r>
  </w:p>
</w:ftr>
</file>

<file path=word/footer7.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w:rPr>
        <w:sz w:val="24"/>
      </w:rPr>
      <mc:AlternateContent xmlns:mc="http://schemas.openxmlformats.org/markup-compatibility/2006">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2" name="文本框 12"/>
              <wp:cNvGraphicFramePr>
                <a:graphicFrameLocks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fldChar w:fldCharType="begin"/>
                          </w:r>
                          <w:r>
                            <w:instrText xml:space="preserve"> PAGE  \* MERGEFORMAT </w:instrText>
                          </w:r>
                          <w:r>
                            <w:fldChar w:fldCharType="separate"/>
                          </w:r>
                          <w:r>
                            <w:t xml:space="preserve">25</w:t>
                          </w:r>
                          <w: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2" o:spid="_x0000_s1324"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66432"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fldChar w:fldCharType="begin"/>
                    </w:r>
                    <w:r>
                      <w:instrText xml:space="preserve"> PAGE  \* MERGEFORMAT </w:instrText>
                    </w:r>
                    <w:r>
                      <w:fldChar w:fldCharType="separate"/>
                    </w:r>
                    <w:r>
                      <w:t xml:space="preserve">25</w:t>
                    </w:r>
                    <w:r>
                      <w:fldChar w:fldCharType="end"/>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59264"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6"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318"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8031" coordsize="21600,21600" filled="f" stroked="f">
              <v:textbox style="mso-fit-shape-to-text:t" inset="0,0,0,0">
                <w:txbxContent>
                  <w:p>
                    <w:pPr>
                      <w:pStyle w:val="Headerorfooter|1"/>
                    </w:pPr>
                  </w:p>
                </w:txbxContent>
              </v:textbox>
            </v:shape>
          </w:pict>
        </mc:Fallback>
      </mc:AlternateContent>
    </w: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spacing w:line="1" w:lineRule="exact"/>
    </w:pPr>
    <w:r>
      <mc:AlternateContent xmlns:mc="http://schemas.openxmlformats.org/markup-compatibility/2006">
        <mc:Choice Requires="wps">
          <w:drawing>
            <wp:anchor distT="0" distB="0" distL="0" distR="0" simplePos="0" relativeHeight="251660288" behindDoc="1" locked="0" layoutInCell="1" allowOverlap="1">
              <wp:simplePos x="0" y="0"/>
              <wp:positionH relativeFrom="page">
                <wp:posOffset>9117330</wp:posOffset>
              </wp:positionH>
              <wp:positionV relativeFrom="page">
                <wp:posOffset>1217295</wp:posOffset>
              </wp:positionV>
              <wp:extent cx="581025" cy="109855"/>
              <wp:effectExtent l="0" t="0" r="0" b="0"/>
              <wp:wrapNone/>
              <wp:docPr id="188" name="Shape 5"/>
              <wp:cNvGraphicFramePr>
                <a:graphicFrameLocks noChangeAspect="0"/>
              </wp:cNvGraphicFramePr>
              <a:graphic>
                <a:graphicData uri="http://schemas.microsoft.com/office/word/2010/wordprocessingShape">
                  <wps:wsp>
                    <wps:cNvSpPr/>
                    <wps:spPr>
                      <a:xfrm>
                        <a:off x="0" y="0"/>
                        <a:ext cx="581025" cy="109855"/>
                      </a:xfrm>
                      <a:prstGeom prst="rect">
                        <a:avLst/>
                      </a:prstGeom>
                      <a:noFill/>
                    </wps:spPr>
                    <wps:txbx>
                      <w:txbxContent>
                        <w:p>
                          <w:pPr>
                            <w:pStyle w:val="Headerorfooter|1"/>
                          </w:pPr>
                        </w:p>
                      </w:txbxContent>
                    </wps:txbx>
                    <wps:bodyPr rot="0" spcFirstLastPara="0" vertOverflow="overflow" horzOverflow="overflow" vert="horz" wrap="square" lIns="0" tIns="0" rIns="0" bIns="0" numCol="1" anchor="t" upright="0">
                      <a:spAutoFit/>
                    </wps:bodyPr>
                  </wps:wsp>
                </a:graphicData>
              </a:graphic>
            </wp:anchor>
          </w:drawing>
        </mc:Choice>
        <mc:Fallback>
          <w:pict>
            <v:shape id="Shape 5" o:spid="_x0000_s1320" type="#_x0000_t202" style="height:8.65pt;margin-left:717.9pt;margin-top:95.85pt;mso-height-relative:page;mso-position-horizontal-relative:page;mso-position-vertical-relative:page;mso-width-relative:page;mso-wrap-distance-bottom:0;mso-wrap-distance-left:0;mso-wrap-distance-right:0;mso-wrap-distance-top:0;mso-wrap-style:square;position:absolute;width:45.75pt;z-index:-4043307007" coordsize="21600,21600" filled="f" stroked="f">
              <v:textbox style="mso-fit-shape-to-text:t" inset="0,0,0,0">
                <w:txbxContent>
                  <w:p>
                    <w:pPr>
                      <w:pStyle w:val="Headerorfooter|1"/>
                    </w:pPr>
                  </w:p>
                </w:txbxContent>
              </v:textbox>
            </v:shape>
          </w:pict>
        </mc:Fallback>
      </mc:AlternateContent>
    </w:r>
  </w:p>
</w:hdr>
</file>

<file path=word/header4.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header6.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singleLevel"/>
    <w:lvl w:ilvl="0">
      <w:start w:val="1"/>
      <w:numFmt w:val="decimal"/>
      <w:suff w:val="nothing"/>
      <w:lvlText w:val="%1．"/>
      <w:lvlJc w:val="left"/>
      <w:pPr>
        <w:ind w:left="0" w:firstLine="4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xmlns:w15="http://schemas.microsoft.com/office/word/2012/wordml" mc:Ignorable="w14 w15">
  <w:zoom w:percent="60"/>
  <w:bordersDoNotSurroundFooter w:val="0"/>
  <w:bordersDoNotSurroundHeader w:val="0"/>
  <w:doNotTrackMoves/>
  <w:documentProtection w:enforcement="1" w:edit="readOnly" w:salt="vhR+k2S443Xj3ypCQZmELQ==" w:hash="ICthLUrcXxa94Q/y1mZ7Gh6n28yecG/h1a9++dQC8sCYhZqWFz3cW+RN9ThnLjwedTHWH0uhdgQGpvjZCls46g==" w:cryptSpinCount="100000" w:cryptAlgorithmType="typeAny" w:cryptAlgorithmClass="hash" w:cryptProviderType="rsaAES" w:cryptAlgorithmSid="14"/>
  <w:defaultTabStop w:val="420"/>
  <w:drawingGridHorizontalSpacing w:val="181"/>
  <w:drawingGridVerticalSpacing w:val="181"/>
  <w:noPunctuationKerning/>
  <w:characterSpacingControl w:val="compressPunctuation"/>
  <w:compat>
    <w:doNotExpandShiftReturn/>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w:docVars>
    <w:docVar w:name="commondata" w:val="eyJoZGlkIjoiYmQ3NjQxYmZmN2ZkODIxYWNiNTEzMzQyMTZmNzQ1MmM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qFormat="1"/>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qFormat="1"/>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uiPriority="0" w:unhideWhenUsed="0"/>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pPr>
    <w:rPr>
      <w:rFonts w:ascii="Times New Roman" w:eastAsia="Times New Roman" w:hAnsi="Times New Roman" w:cs="Times New Roman"/>
      <w:color w:val="000000"/>
      <w:sz w:val="24"/>
      <w:szCs w:val="24"/>
      <w:lang w:val="en-US" w:eastAsia="en-US" w:bidi="en-US"/>
    </w:rPr>
  </w:style>
  <w:style w:type="character" w:default="1" w:styleId="DefaultParagraphFont">
    <w:name w:val="Default Paragraph Font"/>
    <w:autoRedefine/>
    <w:uiPriority w:val="1"/>
    <w:semiHidden/>
    <w:unhideWhenUsed/>
    <w:qFormat/>
    <w:rPr/>
  </w:style>
  <w:style w:type="table" w:default="1" w:styleId="NormalTable">
    <w:name w:val="Normal Table"/>
    <w:autoRedefine/>
    <w:uiPriority w:val="99"/>
    <w:semiHidden/>
    <w:unhideWhenUsed/>
    <w:qFormat/>
    <w:rPr/>
    <w:tblPr>
      <w:tblCellMar>
        <w:top w:w="0" w:type="dxa"/>
        <w:left w:w="108" w:type="dxa"/>
        <w:bottom w:w="0" w:type="dxa"/>
        <w:right w:w="108" w:type="dxa"/>
      </w:tblCellMar>
    </w:tblPr>
  </w:style>
  <w:style w:type="paragraph" w:styleId="CommentText">
    <w:name w:val="Comment Text"/>
    <w:basedOn w:val="Normal"/>
    <w:autoRedefine/>
    <w:qFormat/>
    <w:rPr/>
  </w:style>
  <w:style w:type="paragraph" w:styleId="Footer">
    <w:name w:val="Footer"/>
    <w:basedOn w:val="Normal"/>
    <w:autoRedefine/>
    <w:qFormat/>
    <w:pPr>
      <w:tabs>
        <w:tab w:val="center" w:pos="4153"/>
        <w:tab w:val="right" w:pos="8306"/>
      </w:tabs>
      <w:snapToGrid w:val="0"/>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styleId="TableGrid">
    <w:name w:val="Table Grid"/>
    <w:basedOn w:val="NormalTable"/>
    <w:autoRedefine/>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Comment Reference"/>
    <w:basedOn w:val="DefaultParagraphFont"/>
    <w:autoRedefine/>
    <w:qFormat/>
    <w:rPr>
      <w:sz w:val="21"/>
      <w:szCs w:val="21"/>
    </w:rPr>
  </w:style>
  <w:style w:type="character" w:customStyle="1" w:styleId="Bodytext|5_">
    <w:name w:val="Body text|5_"/>
    <w:basedOn w:val="DefaultParagraphFont"/>
    <w:link w:val="Bodytext|5"/>
    <w:autoRedefine/>
    <w:qFormat/>
    <w:rPr>
      <w:rFonts w:ascii="宋体" w:eastAsia="宋体" w:hAnsi="宋体" w:cs="宋体"/>
      <w:sz w:val="54"/>
      <w:szCs w:val="54"/>
      <w:u w:val="none"/>
      <w:shd w:val="clear" w:color="auto" w:fill="auto"/>
      <w:lang w:val="zh-TW" w:eastAsia="zh-TW" w:bidi="zh-TW"/>
    </w:rPr>
  </w:style>
  <w:style w:type="paragraph" w:customStyle="1" w:styleId="Bodytext|5">
    <w:name w:val="Body text|5"/>
    <w:basedOn w:val="Normal"/>
    <w:link w:val="Bodytext|5_"/>
    <w:autoRedefine/>
    <w:qFormat/>
    <w:pPr>
      <w:jc w:val="center"/>
    </w:pPr>
    <w:rPr>
      <w:rFonts w:ascii="宋体" w:eastAsia="宋体" w:hAnsi="宋体" w:cs="宋体"/>
      <w:sz w:val="54"/>
      <w:szCs w:val="54"/>
      <w:lang w:val="zh-TW" w:eastAsia="zh-TW" w:bidi="zh-TW"/>
    </w:rPr>
  </w:style>
  <w:style w:type="character" w:customStyle="1" w:styleId="Heading#1|1_">
    <w:name w:val="Heading #1|1_"/>
    <w:basedOn w:val="DefaultParagraphFont"/>
    <w:link w:val="Heading#1|1"/>
    <w:autoRedefine/>
    <w:qFormat/>
    <w:rPr>
      <w:rFonts w:ascii="宋体" w:eastAsia="宋体" w:hAnsi="宋体" w:cs="宋体"/>
      <w:sz w:val="44"/>
      <w:szCs w:val="44"/>
      <w:u w:val="none"/>
      <w:shd w:val="clear" w:color="auto" w:fill="auto"/>
      <w:lang w:val="zh-TW" w:eastAsia="zh-TW" w:bidi="zh-TW"/>
    </w:rPr>
  </w:style>
  <w:style w:type="paragraph" w:customStyle="1" w:styleId="Heading#1|1">
    <w:name w:val="Heading #1|1"/>
    <w:basedOn w:val="Normal"/>
    <w:link w:val="Heading#1|1_"/>
    <w:autoRedefine/>
    <w:qFormat/>
    <w:pPr>
      <w:spacing w:after="400"/>
      <w:jc w:val="center"/>
      <w:outlineLvl w:val="0"/>
    </w:pPr>
    <w:rPr>
      <w:rFonts w:ascii="宋体" w:eastAsia="宋体" w:hAnsi="宋体" w:cs="宋体"/>
      <w:sz w:val="44"/>
      <w:szCs w:val="44"/>
      <w:lang w:val="zh-TW" w:eastAsia="zh-TW" w:bidi="zh-TW"/>
    </w:rPr>
  </w:style>
  <w:style w:type="character" w:customStyle="1" w:styleId="Headerorfooter|2_">
    <w:name w:val="Header or footer|2_"/>
    <w:basedOn w:val="DefaultParagraphFont"/>
    <w:link w:val="Headerorfooter|2"/>
    <w:autoRedefine/>
    <w:qFormat/>
    <w:rPr>
      <w:sz w:val="20"/>
      <w:szCs w:val="20"/>
      <w:u w:val="none"/>
      <w:shd w:val="clear" w:color="auto" w:fill="auto"/>
      <w:lang w:val="zh-TW" w:eastAsia="zh-TW" w:bidi="zh-TW"/>
    </w:rPr>
  </w:style>
  <w:style w:type="paragraph" w:customStyle="1" w:styleId="Headerorfooter|2">
    <w:name w:val="Header or footer|2"/>
    <w:basedOn w:val="Normal"/>
    <w:link w:val="Headerorfooter|2_"/>
    <w:autoRedefine/>
    <w:qFormat/>
    <w:rPr>
      <w:sz w:val="20"/>
      <w:szCs w:val="20"/>
      <w:lang w:val="zh-TW" w:eastAsia="zh-TW" w:bidi="zh-TW"/>
    </w:rPr>
  </w:style>
  <w:style w:type="character" w:customStyle="1" w:styleId="Bodytext|2_">
    <w:name w:val="Body text|2_"/>
    <w:basedOn w:val="DefaultParagraphFont"/>
    <w:link w:val="Bodytext|2"/>
    <w:autoRedefine/>
    <w:qFormat/>
    <w:rPr>
      <w:rFonts w:ascii="宋体" w:eastAsia="宋体" w:hAnsi="宋体" w:cs="宋体"/>
      <w:sz w:val="32"/>
      <w:szCs w:val="32"/>
      <w:u w:val="none"/>
      <w:shd w:val="clear" w:color="auto" w:fill="auto"/>
      <w:lang w:val="zh-TW" w:eastAsia="zh-TW" w:bidi="zh-TW"/>
    </w:rPr>
  </w:style>
  <w:style w:type="paragraph" w:customStyle="1" w:styleId="Bodytext|2">
    <w:name w:val="Body text|2"/>
    <w:basedOn w:val="Normal"/>
    <w:link w:val="Bodytext|2_"/>
    <w:autoRedefine/>
    <w:qFormat/>
    <w:pPr>
      <w:spacing w:after="240"/>
      <w:ind w:firstLine="560"/>
    </w:pPr>
    <w:rPr>
      <w:rFonts w:ascii="宋体" w:eastAsia="宋体" w:hAnsi="宋体" w:cs="宋体"/>
      <w:sz w:val="32"/>
      <w:szCs w:val="32"/>
      <w:lang w:val="zh-TW" w:eastAsia="zh-TW" w:bidi="zh-TW"/>
    </w:rPr>
  </w:style>
  <w:style w:type="character" w:customStyle="1" w:styleId="Bodytext|1_">
    <w:name w:val="Body text|1_"/>
    <w:basedOn w:val="DefaultParagraphFont"/>
    <w:link w:val="Bodytext|1"/>
    <w:autoRedefine/>
    <w:qFormat/>
    <w:rPr>
      <w:rFonts w:ascii="宋体" w:eastAsia="宋体" w:hAnsi="宋体" w:cs="宋体"/>
      <w:sz w:val="28"/>
      <w:szCs w:val="28"/>
      <w:u w:val="none"/>
      <w:shd w:val="clear" w:color="auto" w:fill="auto"/>
      <w:lang w:val="zh-TW" w:eastAsia="zh-TW" w:bidi="zh-TW"/>
    </w:rPr>
  </w:style>
  <w:style w:type="paragraph" w:customStyle="1" w:styleId="Bodytext|1">
    <w:name w:val="Body text|1"/>
    <w:basedOn w:val="Normal"/>
    <w:link w:val="Bodytext|1_"/>
    <w:autoRedefine/>
    <w:qFormat/>
    <w:pPr>
      <w:spacing w:line="468" w:lineRule="auto"/>
      <w:ind w:firstLine="400"/>
    </w:pPr>
    <w:rPr>
      <w:rFonts w:ascii="宋体" w:eastAsia="宋体" w:hAnsi="宋体" w:cs="宋体"/>
      <w:sz w:val="28"/>
      <w:szCs w:val="28"/>
      <w:lang w:val="zh-TW" w:eastAsia="zh-TW" w:bidi="zh-TW"/>
    </w:rPr>
  </w:style>
  <w:style w:type="character" w:customStyle="1" w:styleId="Headerorfooter|1_">
    <w:name w:val="Header or footer|1_"/>
    <w:basedOn w:val="DefaultParagraphFont"/>
    <w:link w:val="Headerorfooter|1"/>
    <w:autoRedefine/>
    <w:qFormat/>
    <w:rPr>
      <w:b/>
      <w:bCs/>
      <w:sz w:val="17"/>
      <w:szCs w:val="17"/>
      <w:u w:val="none"/>
      <w:shd w:val="clear" w:color="auto" w:fill="auto"/>
      <w:lang w:val="zh-TW" w:eastAsia="zh-TW" w:bidi="zh-TW"/>
    </w:rPr>
  </w:style>
  <w:style w:type="paragraph" w:customStyle="1" w:styleId="Headerorfooter|1">
    <w:name w:val="Header or footer|1"/>
    <w:basedOn w:val="Normal"/>
    <w:link w:val="Headerorfooter|1_"/>
    <w:autoRedefine/>
    <w:qFormat/>
    <w:rPr>
      <w:b/>
      <w:bCs/>
      <w:sz w:val="17"/>
      <w:szCs w:val="17"/>
      <w:lang w:val="zh-TW" w:eastAsia="zh-TW" w:bidi="zh-TW"/>
    </w:rPr>
  </w:style>
  <w:style w:type="character" w:customStyle="1" w:styleId="Heading#2|1_">
    <w:name w:val="Heading #2|1_"/>
    <w:basedOn w:val="DefaultParagraphFont"/>
    <w:link w:val="Heading#2|1"/>
    <w:autoRedefine/>
    <w:qFormat/>
    <w:rPr>
      <w:rFonts w:ascii="宋体" w:eastAsia="宋体" w:hAnsi="宋体" w:cs="宋体"/>
      <w:sz w:val="26"/>
      <w:szCs w:val="26"/>
      <w:u w:val="none"/>
      <w:shd w:val="clear" w:color="auto" w:fill="auto"/>
      <w:lang w:val="zh-TW" w:eastAsia="zh-TW" w:bidi="zh-TW"/>
    </w:rPr>
  </w:style>
  <w:style w:type="paragraph" w:customStyle="1" w:styleId="Heading#2|1">
    <w:name w:val="Heading #2|1"/>
    <w:basedOn w:val="Normal"/>
    <w:link w:val="Heading#2|1_"/>
    <w:autoRedefine/>
    <w:qFormat/>
    <w:pPr>
      <w:spacing w:after="230"/>
      <w:jc w:val="center"/>
      <w:outlineLvl w:val="1"/>
    </w:pPr>
    <w:rPr>
      <w:rFonts w:ascii="宋体" w:eastAsia="宋体" w:hAnsi="宋体" w:cs="宋体"/>
      <w:sz w:val="26"/>
      <w:szCs w:val="26"/>
      <w:lang w:val="zh-TW" w:eastAsia="zh-TW" w:bidi="zh-TW"/>
    </w:rPr>
  </w:style>
  <w:style w:type="character" w:customStyle="1" w:styleId="Other|1_">
    <w:name w:val="Other|1_"/>
    <w:basedOn w:val="DefaultParagraphFont"/>
    <w:link w:val="Other|1"/>
    <w:autoRedefine/>
    <w:qFormat/>
    <w:rPr>
      <w:rFonts w:ascii="宋体" w:eastAsia="宋体" w:hAnsi="宋体" w:cs="宋体"/>
      <w:sz w:val="28"/>
      <w:szCs w:val="28"/>
      <w:u w:val="none"/>
      <w:shd w:val="clear" w:color="auto" w:fill="auto"/>
      <w:lang w:val="zh-TW" w:eastAsia="zh-TW" w:bidi="zh-TW"/>
    </w:rPr>
  </w:style>
  <w:style w:type="paragraph" w:customStyle="1" w:styleId="Other|1">
    <w:name w:val="Other|1"/>
    <w:basedOn w:val="Normal"/>
    <w:link w:val="Other|1_"/>
    <w:autoRedefine/>
    <w:qFormat/>
    <w:pPr>
      <w:spacing w:line="468" w:lineRule="auto"/>
      <w:ind w:firstLine="400"/>
    </w:pPr>
    <w:rPr>
      <w:rFonts w:ascii="宋体" w:eastAsia="宋体" w:hAnsi="宋体" w:cs="宋体"/>
      <w:sz w:val="28"/>
      <w:szCs w:val="28"/>
      <w:lang w:val="zh-TW" w:eastAsia="zh-TW" w:bidi="zh-TW"/>
    </w:rPr>
  </w:style>
  <w:style w:type="character" w:customStyle="1" w:styleId="Tablecaption|1_">
    <w:name w:val="Table caption|1_"/>
    <w:basedOn w:val="DefaultParagraphFont"/>
    <w:link w:val="Tablecaption|1"/>
    <w:autoRedefine/>
    <w:qFormat/>
    <w:rPr>
      <w:rFonts w:ascii="宋体" w:eastAsia="宋体" w:hAnsi="宋体" w:cs="宋体"/>
      <w:sz w:val="17"/>
      <w:szCs w:val="17"/>
      <w:u w:val="none"/>
      <w:shd w:val="clear" w:color="auto" w:fill="auto"/>
      <w:lang w:val="zh-TW" w:eastAsia="zh-TW" w:bidi="zh-TW"/>
    </w:rPr>
  </w:style>
  <w:style w:type="paragraph" w:customStyle="1" w:styleId="Tablecaption|1">
    <w:name w:val="Table caption|1"/>
    <w:basedOn w:val="Normal"/>
    <w:link w:val="Tablecaption|1_"/>
    <w:autoRedefine/>
    <w:qFormat/>
    <w:rPr>
      <w:rFonts w:ascii="宋体" w:eastAsia="宋体" w:hAnsi="宋体" w:cs="宋体"/>
      <w:sz w:val="17"/>
      <w:szCs w:val="17"/>
      <w:lang w:val="zh-TW" w:eastAsia="zh-TW" w:bidi="zh-TW"/>
    </w:rPr>
  </w:style>
  <w:style w:type="character" w:customStyle="1" w:styleId="Bodytext|4_">
    <w:name w:val="Body text|4_"/>
    <w:basedOn w:val="DefaultParagraphFont"/>
    <w:link w:val="Bodytext|4"/>
    <w:autoRedefine/>
    <w:qFormat/>
    <w:rPr>
      <w:rFonts w:ascii="宋体" w:eastAsia="宋体" w:hAnsi="宋体" w:cs="宋体"/>
      <w:sz w:val="17"/>
      <w:szCs w:val="17"/>
      <w:u w:val="none"/>
      <w:shd w:val="clear" w:color="auto" w:fill="auto"/>
      <w:lang w:val="zh-TW" w:eastAsia="zh-TW" w:bidi="zh-TW"/>
    </w:rPr>
  </w:style>
  <w:style w:type="paragraph" w:customStyle="1" w:styleId="Bodytext|4">
    <w:name w:val="Body text|4"/>
    <w:basedOn w:val="Normal"/>
    <w:link w:val="Bodytext|4_"/>
    <w:autoRedefine/>
    <w:qFormat/>
    <w:pPr>
      <w:ind w:firstLine="680"/>
    </w:pPr>
    <w:rPr>
      <w:rFonts w:ascii="宋体" w:eastAsia="宋体" w:hAnsi="宋体" w:cs="宋体"/>
      <w:sz w:val="17"/>
      <w:szCs w:val="17"/>
      <w:lang w:val="zh-TW" w:eastAsia="zh-TW" w:bidi="zh-TW"/>
    </w:rPr>
  </w:style>
  <w:style w:type="character" w:customStyle="1" w:styleId="Bodytext|3_">
    <w:name w:val="Body text|3_"/>
    <w:basedOn w:val="DefaultParagraphFont"/>
    <w:link w:val="Bodytext|3"/>
    <w:autoRedefine/>
    <w:qFormat/>
    <w:rPr>
      <w:sz w:val="30"/>
      <w:szCs w:val="30"/>
      <w:u w:val="none"/>
      <w:shd w:val="clear" w:color="auto" w:fill="auto"/>
      <w:lang w:val="zh-TW" w:eastAsia="zh-TW" w:bidi="zh-TW"/>
    </w:rPr>
  </w:style>
  <w:style w:type="paragraph" w:customStyle="1" w:styleId="Bodytext|3">
    <w:name w:val="Body text|3"/>
    <w:basedOn w:val="Normal"/>
    <w:link w:val="Bodytext|3_"/>
    <w:autoRedefine/>
    <w:qFormat/>
    <w:pPr>
      <w:spacing w:after="140" w:line="336" w:lineRule="auto"/>
      <w:ind w:firstLine="370"/>
    </w:pPr>
    <w:rPr>
      <w:sz w:val="30"/>
      <w:szCs w:val="30"/>
      <w:lang w:val="zh-TW" w:eastAsia="zh-TW" w:bidi="zh-TW"/>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harts/chart3.xml" Type="http://schemas.openxmlformats.org/officeDocument/2006/relationships/chart"/><Relationship Id="rId11" Target="charts/chart4.xml" Type="http://schemas.openxmlformats.org/officeDocument/2006/relationships/chart"/><Relationship Id="rId12" Target="charts/chart5.xml" Type="http://schemas.openxmlformats.org/officeDocument/2006/relationships/chart"/><Relationship Id="rId13" Target="charts/chart6.xml" Type="http://schemas.openxmlformats.org/officeDocument/2006/relationships/chart"/><Relationship Id="rId14" Target="header2.xml" Type="http://schemas.openxmlformats.org/officeDocument/2006/relationships/header"/><Relationship Id="rId15" Target="footer3.xml" Type="http://schemas.openxmlformats.org/officeDocument/2006/relationships/footer"/><Relationship Id="rId16" Target="header3.xml" Type="http://schemas.openxmlformats.org/officeDocument/2006/relationships/header"/><Relationship Id="rId17" Target="footer4.xml" Type="http://schemas.openxmlformats.org/officeDocument/2006/relationships/footer"/><Relationship Id="rId18" Target="header4.xml" Type="http://schemas.openxmlformats.org/officeDocument/2006/relationships/header"/><Relationship Id="rId19" Target="footer5.xml" Type="http://schemas.openxmlformats.org/officeDocument/2006/relationships/footer"/><Relationship Id="rId2" Target="../customXml/item2.xml" Type="http://schemas.openxmlformats.org/officeDocument/2006/relationships/customXml"/><Relationship Id="rId20" Target="header5.xml" Type="http://schemas.openxmlformats.org/officeDocument/2006/relationships/header"/><Relationship Id="rId21" Target="footer6.xml" Type="http://schemas.openxmlformats.org/officeDocument/2006/relationships/footer"/><Relationship Id="rId22" Target="header6.xml" Type="http://schemas.openxmlformats.org/officeDocument/2006/relationships/header"/><Relationship Id="rId23" Target="footer7.xml" Type="http://schemas.openxmlformats.org/officeDocument/2006/relationships/footer"/><Relationship Id="rId24" Target="theme/theme1.xml" Type="http://schemas.openxmlformats.org/officeDocument/2006/relationships/theme"/><Relationship Id="rId25" Target="styles.xml" Type="http://schemas.openxmlformats.org/officeDocument/2006/relationships/styles"/><Relationship Id="rId26" Target="webSettings.xml" Type="http://schemas.openxmlformats.org/officeDocument/2006/relationships/webSettings"/><Relationship Id="rId27" Target="numbering.xml" Type="http://schemas.openxmlformats.org/officeDocument/2006/relationships/numbering"/><Relationship Id="rId28" Target="fontTable.xml" Type="http://schemas.openxmlformats.org/officeDocument/2006/relationships/fontTable"/><Relationship Id="rId29" Target="settings.xml" Type="http://schemas.openxmlformats.org/officeDocument/2006/relationships/settings"/><Relationship Id="rId3" Target="../customXml/item3.xml" Type="http://schemas.openxmlformats.org/officeDocument/2006/relationships/customXml"/><Relationship Id="rId4" Target="../customXml/item4.xml" Type="http://schemas.openxmlformats.org/officeDocument/2006/relationships/customXml"/><Relationship Id="rId5" Target="header1.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charts/chart1.xml" Type="http://schemas.openxmlformats.org/officeDocument/2006/relationships/chart"/><Relationship Id="rId9" Target="charts/chart2.xml" Type="http://schemas.openxmlformats.org/officeDocument/2006/relationships/chart"/></Relationships>
</file>

<file path=word/charts/_rels/chart1.xml.rels><?xml version="1.0" encoding="UTF-8" standalone="yes"?><Relationships xmlns="http://schemas.openxmlformats.org/package/2006/relationships"><Relationship Id="rId1" Target="../embeddings/Microsoft_Office_Excel_Worksheet1.xlsx" Type="http://schemas.openxmlformats.org/officeDocument/2006/relationships/package"/></Relationships>
</file>

<file path=word/charts/_rels/chart2.xml.rels><?xml version="1.0" encoding="UTF-8" standalone="yes"?><Relationships xmlns="http://schemas.openxmlformats.org/package/2006/relationships"><Relationship Id="rId1" Target="../embeddings/Microsoft_Office_Excel_Worksheet2.xlsx" Type="http://schemas.openxmlformats.org/officeDocument/2006/relationships/package"/></Relationships>
</file>

<file path=word/charts/_rels/chart3.xml.rels><?xml version="1.0" encoding="UTF-8" standalone="yes"?><Relationships xmlns="http://schemas.openxmlformats.org/package/2006/relationships"><Relationship Id="rId1" Target="../embeddings/Microsoft_Office_Excel_Worksheet3.xlsx" Type="http://schemas.openxmlformats.org/officeDocument/2006/relationships/package"/></Relationships>
</file>

<file path=word/charts/_rels/chart4.xml.rels><?xml version="1.0" encoding="UTF-8" standalone="yes"?><Relationships xmlns="http://schemas.openxmlformats.org/package/2006/relationships"><Relationship Id="rId1" Target="../embeddings/Microsoft_Office_Excel_Worksheet4.xlsx" Type="http://schemas.openxmlformats.org/officeDocument/2006/relationships/package"/></Relationships>
</file>

<file path=word/charts/_rels/chart5.xml.rels><?xml version="1.0" encoding="UTF-8" standalone="yes"?><Relationships xmlns="http://schemas.openxmlformats.org/package/2006/relationships"><Relationship Id="rId1" Target="../embeddings/Microsoft_Office_Excel_Worksheet5.xlsx" Type="http://schemas.openxmlformats.org/officeDocument/2006/relationships/package"/></Relationships>
</file>

<file path=word/charts/_rels/chart6.xml.rels><?xml version="1.0" encoding="UTF-8" standalone="yes"?><Relationships xmlns="http://schemas.openxmlformats.org/package/2006/relationships"><Relationship Id="rId1" Target="../embeddings/Microsoft_Office_Excel_Worksheet6.xlsx" Type="http://schemas.openxmlformats.org/officeDocument/2006/relationships/package"/></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部门收入总体情况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Sheet1!$A$2:$A$3</c:f>
              <c:strCache>
                <c:ptCount val="2"/>
                <c:pt idx="0">
                  <c:v>一般公共预算拨款</c:v>
                </c:pt>
                <c:pt idx="1">
                  <c:v>事业收入</c:v>
                </c:pt>
              </c:strCache>
            </c:strRef>
          </c:cat>
          <c:val>
            <c:numRef>
              <c:f>Sheet1!$B$2:$B$3</c:f>
              <c:numCache>
                <c:ptCount val="2"/>
                <c:pt idx="0">
                  <c:v>35.59</c:v>
                </c:pt>
                <c:pt idx="1">
                  <c:v>1079.3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部门支出总体情况</a:t>
            </a:r>
            <a:endParaRPr lang="en-US" sz="1100"/>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explosion val="0"/>
          <c:dPt>
            <c:idx val="0"/>
            <c:bubble3D val="0"/>
            <c:spPr>
              <a:solidFill>
                <a:schemeClr val="accent1"/>
              </a:solidFill>
              <a:ln w="19050">
                <a:solidFill>
                  <a:schemeClr val="lt1"/>
                </a:solidFill>
              </a:ln>
              <a:effectLst/>
            </c:spPr>
          </c:dPt>
          <c:dLbls>
            <c:delete val="1"/>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ptCount val="4"/>
                <c:pt idx="0">
                  <c:v>0.42</c:v>
                </c:pt>
                <c:pt idx="1">
                  <c:v>5.32</c:v>
                </c:pt>
                <c:pt idx="2">
                  <c:v>1104.46</c:v>
                </c:pt>
                <c:pt idx="3">
                  <c:v>4.68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财政拨款收支总体情况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c:f>
              <c:strCache>
                <c:ptCount val="1"/>
                <c:pt idx="0">
                  <c:v>收入</c:v>
                </c:pt>
              </c:strCache>
            </c:strRef>
          </c:cat>
          <c:val>
            <c:numRef>
              <c:f>Sheet1!$B$2</c:f>
              <c:numCache>
                <c:formatCode>General</c:formatCode>
                <c:ptCount val="1"/>
                <c:pt idx="0">
                  <c:v>0.0</c:v>
                </c:pt>
              </c:numCache>
            </c:numRef>
          </c:val>
        </c:ser>
        <c:ser>
          <c:idx val="1"/>
          <c:order val="1"/>
          <c:tx>
            <c:strRef>
              <c:f>Sheet1!$C$1</c:f>
              <c:strCache>
                <c:ptCount val="1"/>
                <c:pt idx="0">
                  <c:v>当年</c:v>
                </c:pt>
              </c:strCache>
            </c:strRef>
          </c:tx>
          <c:spPr>
            <a:solidFill>
              <a:schemeClr val="accent2"/>
            </a:solidFill>
            <a:ln>
              <a:noFill/>
            </a:ln>
            <a:effectLst/>
          </c:spPr>
          <c:invertIfNegative val="0"/>
          <c:dLbls>
            <c:delete val="1"/>
          </c:dLbls>
          <c:cat>
            <c:strRef>
              <c:f>Sheet1!$A$2</c:f>
              <c:strCache>
                <c:ptCount val="1"/>
                <c:pt idx="0">
                  <c:v>收入</c:v>
                </c:pt>
              </c:strCache>
            </c:strRef>
          </c:cat>
          <c:val>
            <c:numRef>
              <c:f>Sheet1!$C$2</c:f>
              <c:numCache>
                <c:formatCode>General</c:formatCode>
                <c:ptCount val="1"/>
                <c:pt idx="0">
                  <c:v>35.59</c:v>
                </c:pt>
              </c:numCache>
            </c:numRef>
          </c:val>
        </c:ser>
        <c:dLbls>
          <c:showLegendKey val="0"/>
          <c:showVal val="0"/>
          <c:showCatName val="0"/>
          <c:showSerName val="0"/>
          <c:showPercent val="0"/>
          <c:showBubbleSize val="0"/>
        </c:dLbls>
        <c:gapWidth val="219"/>
        <c:overlap val="-27"/>
        <c:axId val="811850650"/>
        <c:axId val="698020238"/>
      </c:barChart>
      <c:catAx>
        <c:axId val="81185065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8020238"/>
        <c:crosses val="autoZero"/>
        <c:auto val="1"/>
        <c:lblAlgn val="ctr"/>
        <c:lblOffset val="100"/>
        <c:noMultiLvlLbl val="0"/>
      </c:catAx>
      <c:valAx>
        <c:axId val="69802023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1185065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bar"/>
        <c:grouping val="clustered"/>
        <c:varyColors val="0"/>
        <c:ser>
          <c:idx val="0"/>
          <c:order val="0"/>
          <c:tx>
            <c:strRef>
              <c:f>Sheet1!$B$1</c:f>
              <c:strCache>
                <c:ptCount val="1"/>
                <c:pt idx="0">
                  <c:v>基本支出</c:v>
                </c:pt>
              </c:strCache>
            </c:strRef>
          </c:tx>
          <c:spPr>
            <a:solidFill>
              <a:schemeClr val="accent1"/>
            </a:solidFill>
            <a:ln>
              <a:noFill/>
            </a:ln>
            <a:effectLst/>
          </c:spPr>
          <c:invertIfNegative val="0"/>
          <c:dLbls>
            <c:delete val="1"/>
          </c:dLbls>
          <c:cat>
            <c:strRef>
              <c:f>Sheet1!$A$2</c:f>
              <c:strCache>
                <c:ptCount val="1"/>
                <c:pt idx="0">
                  <c:v>当年</c:v>
                </c:pt>
              </c:strCache>
            </c:strRef>
          </c:cat>
          <c:val>
            <c:numRef>
              <c:f>Sheet1!$B$2</c:f>
              <c:numCache>
                <c:formatCode>General</c:formatCode>
                <c:ptCount val="1"/>
                <c:pt idx="0">
                  <c:v>35.59</c:v>
                </c:pt>
              </c:numCache>
            </c:numRef>
          </c:val>
        </c:ser>
        <c:ser>
          <c:idx val="1"/>
          <c:order val="1"/>
          <c:tx>
            <c:strRef>
              <c:f>Sheet1!$C$1</c:f>
              <c:strCache>
                <c:ptCount val="1"/>
                <c:pt idx="0">
                  <c:v>结转下年支出</c:v>
                </c:pt>
              </c:strCache>
            </c:strRef>
          </c:tx>
          <c:cat>
            <c:strRef>
              <c:f>Sheet1!$A$2</c:f>
              <c:strCache>
                <c:ptCount val="1"/>
                <c:pt idx="0">
                  <c:v>当年</c:v>
                </c:pt>
              </c:strCache>
            </c:strRef>
          </c:cat>
          <c:val>
            <c:numRef>
              <c:f>Sheet1!$C$2</c:f>
              <c:numCache>
                <c:ptCount val="1"/>
                <c:pt idx="0">
                  <c:v>0.0</c:v>
                </c:pt>
              </c:numCache>
            </c:numRef>
          </c:val>
        </c:ser>
        <c:ser>
          <c:idx val="2"/>
          <c:order val="2"/>
          <c:tx>
            <c:strRef>
              <c:f>Sheet1!$D$1</c:f>
              <c:strCache>
                <c:ptCount val="1"/>
                <c:pt idx="0">
                  <c:v>项目支出</c:v>
                </c:pt>
              </c:strCache>
            </c:strRef>
          </c:tx>
          <c:cat>
            <c:strRef>
              <c:f>Sheet1!$A$2</c:f>
              <c:strCache>
                <c:ptCount val="1"/>
                <c:pt idx="0">
                  <c:v>当年</c:v>
                </c:pt>
              </c:strCache>
            </c:strRef>
          </c:cat>
          <c:val>
            <c:numRef>
              <c:f>Sheet1!$D$2</c:f>
              <c:numCache>
                <c:ptCount val="1"/>
                <c:pt idx="0">
                  <c:v>0.0</c:v>
                </c:pt>
              </c:numCache>
            </c:numRef>
          </c:val>
        </c:ser>
        <c:ser>
          <c:idx val="3"/>
          <c:order val="3"/>
          <c:tx>
            <c:strRef>
              <c:f>Sheet1!$E$1</c:f>
              <c:strCache>
                <c:ptCount val="1"/>
                <c:pt idx="0">
                  <c:v>公用经费</c:v>
                </c:pt>
              </c:strCache>
            </c:strRef>
          </c:tx>
          <c:cat>
            <c:strRef>
              <c:f>Sheet1!$A$2</c:f>
              <c:strCache>
                <c:ptCount val="1"/>
                <c:pt idx="0">
                  <c:v>当年</c:v>
                </c:pt>
              </c:strCache>
            </c:strRef>
          </c:cat>
          <c:val>
            <c:numRef>
              <c:f>Sheet1!$E$2</c:f>
              <c:numCache>
                <c:ptCount val="1"/>
                <c:pt idx="0">
                  <c:v>0.42</c:v>
                </c:pt>
              </c:numCache>
            </c:numRef>
          </c:val>
        </c:ser>
        <c:ser>
          <c:idx val="4"/>
          <c:order val="4"/>
          <c:tx>
            <c:strRef>
              <c:f>Sheet1!$F$1</c:f>
              <c:strCache>
                <c:ptCount val="1"/>
                <c:pt idx="0">
                  <c:v>人员经费</c:v>
                </c:pt>
              </c:strCache>
            </c:strRef>
          </c:tx>
          <c:cat>
            <c:strRef>
              <c:f>Sheet1!$A$2</c:f>
              <c:strCache>
                <c:ptCount val="1"/>
                <c:pt idx="0">
                  <c:v>当年</c:v>
                </c:pt>
              </c:strCache>
            </c:strRef>
          </c:cat>
          <c:val>
            <c:numRef>
              <c:f>Sheet1!$F$2</c:f>
              <c:numCache>
                <c:ptCount val="1"/>
                <c:pt idx="0">
                  <c:v>35.16</c:v>
                </c:pt>
              </c:numCache>
            </c:numRef>
          </c:val>
        </c:ser>
        <c:dLbls>
          <c:showLegendKey val="0"/>
          <c:showVal val="0"/>
          <c:showCatName val="0"/>
          <c:showSerName val="0"/>
          <c:showPercent val="0"/>
          <c:showBubbleSize val="0"/>
        </c:dLbls>
        <c:gapWidth val="182"/>
        <c:overlap val="0"/>
        <c:axId val="691519273"/>
        <c:axId val="850134922"/>
      </c:barChart>
      <c:catAx>
        <c:axId val="691519273"/>
        <c:scaling>
          <c:orientation val="minMax"/>
        </c:scaling>
        <c:delete val="1"/>
        <c:axPos val="l"/>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0134922"/>
        <c:crosses val="autoZero"/>
        <c:auto val="1"/>
        <c:lblAlgn val="ctr"/>
        <c:lblOffset val="100"/>
        <c:noMultiLvlLbl val="0"/>
      </c:catAx>
      <c:valAx>
        <c:axId val="85013492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9151927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nchor="t" rtlCol="false"/>
          <a:lstStyle/>
          <a:p>
            <a:pPr algn="l">
              <a:defRPr/>
            </a:pPr>
            <a:r>
              <a:rPr lang="en-US"/>
              <a:t>一般公共预算基本支出情况</a:t>
            </a:r>
            <a:endParaRPr lang="en-US" sz="1100"/>
          </a:p>
        </c:rich>
      </c:tx>
      <c:layout/>
      <c:overlay val="false"/>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Sheet1!$A$2:$A$3</c:f>
              <c:strCache>
                <c:ptCount val="2"/>
                <c:pt idx="0">
                  <c:v>人员经费</c:v>
                </c:pt>
                <c:pt idx="1">
                  <c:v>公用经费</c:v>
                </c:pt>
              </c:strCache>
            </c:strRef>
          </c:cat>
          <c:val>
            <c:numRef>
              <c:f>Sheet1!$B$2:$B$3</c:f>
              <c:numCache>
                <c:ptCount val="2"/>
                <c:pt idx="0">
                  <c:v>35.16</c:v>
                </c:pt>
                <c:pt idx="1">
                  <c:v>0.42</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zh-CN"/>
              <a:t>一般公共预算“三公”经费安排情况</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上年</c:v>
                </c:pt>
              </c:strCache>
            </c:strRef>
          </c:tx>
          <c:spPr>
            <a:solidFill>
              <a:schemeClr val="accent1"/>
            </a:solidFill>
            <a:ln>
              <a:noFill/>
            </a:ln>
            <a:effectLst/>
          </c:spPr>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Sheet1!$B$2:$B$4</c:f>
              <c:numCache>
                <c:formatCode>General</c:formatCode>
                <c:ptCount val="3"/>
                <c:pt idx="0">
                  <c:v>0.0</c:v>
                </c:pt>
                <c:pt idx="1">
                  <c:v>0.0</c:v>
                </c:pt>
                <c:pt idx="2">
                  <c:v>0.0</c:v>
                </c:pt>
              </c:numCache>
            </c:numRef>
          </c:val>
        </c:ser>
        <c:ser>
          <c:idx val="1"/>
          <c:order val="1"/>
          <c:tx>
            <c:strRef>
              <c:f>Sheet1!$C$1</c:f>
              <c:strCache>
                <c:ptCount val="1"/>
                <c:pt idx="0">
                  <c:v>当年</c:v>
                </c:pt>
              </c:strCache>
            </c:strRef>
          </c:tx>
          <c:invertIfNegative val="0"/>
          <c:dLbls>
            <c:delete val="1"/>
          </c:dLbls>
          <c:cat>
            <c:strRef>
              <c:f>Sheet1!$A$2:$A$4</c:f>
              <c:strCache>
                <c:ptCount val="3"/>
                <c:pt idx="0">
                  <c:v>因公出国（境）经费预算</c:v>
                </c:pt>
                <c:pt idx="1">
                  <c:v>公务接待费预算</c:v>
                </c:pt>
                <c:pt idx="2">
                  <c:v>公务用车购置及运行费预算</c:v>
                </c:pt>
              </c:strCache>
            </c:strRef>
          </c:cat>
          <c:val>
            <c:numRef>
              <c:f>Sheet1!$C$2:$C$4</c:f>
              <c:numCache>
                <c:formatCode>General</c:formatCode>
                <c:ptCount val="3"/>
                <c:pt idx="0">
                  <c:v>0.0</c:v>
                </c:pt>
                <c:pt idx="1">
                  <c:v>0.2</c:v>
                </c:pt>
                <c:pt idx="2">
                  <c:v>0.0</c:v>
                </c:pt>
              </c:numCache>
            </c:numRef>
          </c:val>
        </c:ser>
        <c:dLbls>
          <c:showLegendKey val="0"/>
          <c:showVal val="0"/>
          <c:showCatName val="0"/>
          <c:showSerName val="0"/>
          <c:showPercent val="0"/>
          <c:showBubbleSize val="0"/>
        </c:dLbls>
        <c:gapWidth val="182"/>
        <c:overlap val="0"/>
        <c:axId val="587647791"/>
        <c:axId val="468612210"/>
      </c:barChart>
      <c:catAx>
        <c:axId val="587647791"/>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8612210"/>
        <c:crosses val="autoZero"/>
        <c:auto val="1"/>
        <c:lblAlgn val="ctr"/>
        <c:lblOffset val="100"/>
        <c:noMultiLvlLbl val="0"/>
      </c:catAx>
      <c:valAx>
        <c:axId val="468612210"/>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8764779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2024-03-01T03:59:02Z</dcterms:modified>
  <cp:revision>3</cp:revision>
</cp:coreProperties>
</file>

<file path=customXml/item2.xml><?xml version="1.0" encoding="utf-8"?>
<Properties xmlns="http://schemas.openxmlformats.org/officeDocument/2006/extended-properties" xmlns:vt="http://schemas.openxmlformats.org/officeDocument/2006/docPropsVTypes">
  <Template>Normal.dotm</Template>
  <Pages>35</Pages>
  <Words>8576</Words>
  <Characters>11046</Characters>
  <Lines>105</Lines>
  <Paragraphs>29</Paragraphs>
  <TotalTime>13</TotalTime>
  <ScaleCrop>false</ScaleCrop>
  <LinksUpToDate>false</LinksUpToDate>
  <CharactersWithSpaces>11333</CharactersWithSpaces>
  <Application>WPS Office_12.1.0.16388_F1E327BC-269C-435d-A152-05C5408002CA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E8731993985A4C8C9EC310D21024A9FA_13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13</TotalTime>
  <Pages>35</Pages>
  <Words>8576</Words>
  <Characters>11046</Characters>
  <Application>WPS Office_12.1.0.16388_F1E327BC-269C-435d-A152-05C5408002CA</Application>
  <DocSecurity>0</DocSecurity>
  <Lines>105</Lines>
  <Paragraphs>29</Paragraphs>
  <CharactersWithSpaces>11333</CharactersWithSpaces>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2023-02-07T06:11:00Z</dcterms:created>
  <dc:creator>蔡冬冬</dc:creator>
  <cp:lastModifiedBy>A sentiment</cp:lastModifiedBy>
  <dcterms:modified xsi:type="dcterms:W3CDTF">2024-03-01T08:52:56Z</dcterms:modified>
  <cp:revision>3</cp:revision>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2052-12.1.0.16388</vt:lpstr>
  </property>
  <property fmtid="{D5CDD505-2E9C-101B-9397-08002B2CF9AE}" pid="3" name="ICV">
    <vt:lpstr>E8731993985A4C8C9EC310D21024A9FA_13</vt:lpstr>
  </property>
</Properties>
</file>