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黑体"/>
          <w:b/>
          <w:bCs/>
          <w:sz w:val="52"/>
          <w:szCs w:val="52"/>
        </w:rPr>
      </w:pPr>
      <w:r>
        <w:rPr>
          <w:rFonts w:hint="eastAsia" w:ascii="黑体" w:hAnsi="黑体" w:eastAsia="黑体" w:cs="黑体"/>
          <w:b/>
          <w:bCs/>
          <w:sz w:val="52"/>
          <w:szCs w:val="52"/>
        </w:rPr>
        <w:t>中国共产党环江毛南族自治县委员会统一战线工作部2022年度部门决算</w:t>
      </w:r>
    </w:p>
    <w:p>
      <w:pPr>
        <w:jc w:val="cente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黑体"/>
          <w:b/>
          <w:bCs/>
          <w:sz w:val="36"/>
          <w:szCs w:val="36"/>
        </w:rPr>
      </w:pPr>
      <w:r>
        <w:rPr>
          <w:rFonts w:hint="eastAsia" w:ascii="黑体" w:hAnsi="黑体" w:eastAsia="黑体" w:cs="黑体"/>
          <w:b/>
          <w:bCs/>
          <w:sz w:val="36"/>
          <w:szCs w:val="36"/>
        </w:rPr>
        <w:t>2023年10月</w:t>
      </w:r>
    </w:p>
    <w:p>
      <w:pPr>
        <w:rPr>
          <w:rFonts w:ascii="仿宋" w:hAnsi="仿宋" w:eastAsia="仿宋" w:cs="仿宋"/>
          <w:sz w:val="32"/>
          <w:szCs w:val="32"/>
        </w:rPr>
      </w:pPr>
      <w:r>
        <w:rPr>
          <w:rFonts w:ascii="仿宋" w:hAnsi="仿宋" w:eastAsia="仿宋" w:cs="仿宋"/>
          <w:sz w:val="32"/>
          <w:szCs w:val="32"/>
        </w:rPr>
        <w:br w:type="page"/>
      </w: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ascii="仿宋" w:hAnsi="仿宋" w:eastAsia="仿宋" w:cs="仿宋"/>
          <w:sz w:val="32"/>
          <w:szCs w:val="32"/>
        </w:rPr>
      </w:pPr>
      <w:r>
        <w:rPr>
          <w:rFonts w:hint="eastAsia" w:ascii="黑体" w:hAnsi="黑体" w:eastAsia="黑体" w:cs="黑体"/>
          <w:sz w:val="32"/>
          <w:szCs w:val="32"/>
        </w:rPr>
        <w:t>第一部分：</w:t>
      </w:r>
      <w:r>
        <w:rPr>
          <w:rFonts w:ascii="黑体" w:hAnsi="黑体" w:eastAsia="黑体" w:cs="黑体"/>
          <w:sz w:val="32"/>
        </w:rPr>
        <w:t>中国共产党环江毛南族自治县委员会统一战线工作部</w:t>
      </w:r>
      <w:r>
        <w:rPr>
          <w:rFonts w:hint="eastAsia" w:ascii="黑体" w:hAnsi="黑体" w:eastAsia="黑体" w:cs="黑体"/>
          <w:sz w:val="32"/>
          <w:szCs w:val="32"/>
        </w:rPr>
        <w:t>概况</w:t>
      </w:r>
    </w:p>
    <w:p>
      <w:pPr>
        <w:jc w:val="left"/>
        <w:rPr>
          <w:rFonts w:ascii="仿宋" w:hAnsi="仿宋" w:eastAsia="仿宋" w:cs="仿宋"/>
          <w:sz w:val="32"/>
          <w:szCs w:val="32"/>
        </w:rPr>
      </w:pPr>
      <w:r>
        <w:rPr>
          <w:rFonts w:hint="eastAsia" w:ascii="仿宋" w:hAnsi="仿宋" w:eastAsia="仿宋" w:cs="仿宋"/>
          <w:sz w:val="32"/>
          <w:szCs w:val="32"/>
        </w:rPr>
        <w:t>一、主要职能</w:t>
      </w:r>
    </w:p>
    <w:p>
      <w:pPr>
        <w:jc w:val="left"/>
        <w:rPr>
          <w:rFonts w:ascii="仿宋" w:hAnsi="仿宋" w:eastAsia="仿宋" w:cs="仿宋"/>
          <w:sz w:val="32"/>
          <w:szCs w:val="32"/>
        </w:rPr>
      </w:pPr>
      <w:r>
        <w:rPr>
          <w:rFonts w:hint="eastAsia" w:ascii="仿宋" w:hAnsi="仿宋" w:eastAsia="仿宋" w:cs="仿宋"/>
          <w:sz w:val="32"/>
          <w:szCs w:val="32"/>
        </w:rPr>
        <w:t>二、部门决算单位构成</w:t>
      </w:r>
    </w:p>
    <w:p>
      <w:pPr>
        <w:jc w:val="left"/>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中国共产党环江毛南族自治县委员会统一战线工作部</w:t>
      </w:r>
      <w:r>
        <w:rPr>
          <w:rFonts w:hint="eastAsia" w:ascii="黑体" w:hAnsi="黑体" w:eastAsia="黑体" w:cs="黑体"/>
          <w:sz w:val="32"/>
          <w:szCs w:val="32"/>
        </w:rPr>
        <w:t>2022年度部门决算报表</w:t>
      </w:r>
    </w:p>
    <w:p>
      <w:pPr>
        <w:rPr>
          <w:rFonts w:ascii="仿宋_GB2312" w:eastAsia="仿宋_GB2312"/>
          <w:sz w:val="32"/>
          <w:szCs w:val="32"/>
        </w:rPr>
      </w:pPr>
      <w:r>
        <w:rPr>
          <w:rFonts w:hint="eastAsia" w:ascii="仿宋_GB2312" w:eastAsia="仿宋_GB2312"/>
          <w:sz w:val="32"/>
          <w:szCs w:val="32"/>
        </w:rPr>
        <w:t>表一：收入支出决算总表</w:t>
      </w:r>
    </w:p>
    <w:p>
      <w:pPr>
        <w:rPr>
          <w:rFonts w:ascii="仿宋_GB2312" w:eastAsia="仿宋_GB2312"/>
          <w:sz w:val="32"/>
          <w:szCs w:val="32"/>
        </w:rPr>
      </w:pPr>
      <w:r>
        <w:rPr>
          <w:rFonts w:hint="eastAsia" w:ascii="仿宋_GB2312" w:eastAsia="仿宋_GB2312"/>
          <w:sz w:val="32"/>
          <w:szCs w:val="32"/>
        </w:rPr>
        <w:t>表二：收入决算表</w:t>
      </w:r>
    </w:p>
    <w:p>
      <w:pPr>
        <w:rPr>
          <w:rFonts w:ascii="仿宋_GB2312" w:eastAsia="仿宋_GB2312"/>
          <w:sz w:val="32"/>
          <w:szCs w:val="32"/>
        </w:rPr>
      </w:pPr>
      <w:r>
        <w:rPr>
          <w:rFonts w:hint="eastAsia" w:ascii="仿宋_GB2312" w:eastAsia="仿宋_GB2312"/>
          <w:sz w:val="32"/>
          <w:szCs w:val="32"/>
        </w:rPr>
        <w:t>表三：支出决算表</w:t>
      </w:r>
    </w:p>
    <w:p>
      <w:pPr>
        <w:rPr>
          <w:rFonts w:ascii="仿宋_GB2312" w:eastAsia="仿宋_GB2312"/>
          <w:sz w:val="32"/>
          <w:szCs w:val="32"/>
        </w:rPr>
      </w:pPr>
      <w:r>
        <w:rPr>
          <w:rFonts w:hint="eastAsia" w:ascii="仿宋_GB2312" w:eastAsia="仿宋_GB2312"/>
          <w:sz w:val="32"/>
          <w:szCs w:val="32"/>
        </w:rPr>
        <w:t>表四：财政拨款收入支出决算总表</w:t>
      </w:r>
    </w:p>
    <w:p>
      <w:pPr>
        <w:rPr>
          <w:rFonts w:ascii="仿宋_GB2312" w:eastAsia="仿宋_GB2312"/>
          <w:sz w:val="32"/>
          <w:szCs w:val="32"/>
        </w:rPr>
      </w:pPr>
      <w:r>
        <w:rPr>
          <w:rFonts w:hint="eastAsia" w:ascii="仿宋_GB2312" w:eastAsia="仿宋_GB2312"/>
          <w:sz w:val="32"/>
          <w:szCs w:val="32"/>
        </w:rPr>
        <w:t>表五：一般公共预算财政拨款支出决算表</w:t>
      </w:r>
    </w:p>
    <w:p>
      <w:pPr>
        <w:rPr>
          <w:rFonts w:ascii="仿宋_GB2312" w:eastAsia="仿宋_GB2312"/>
          <w:sz w:val="32"/>
          <w:szCs w:val="32"/>
        </w:rPr>
      </w:pPr>
      <w:r>
        <w:rPr>
          <w:rFonts w:hint="eastAsia" w:ascii="仿宋_GB2312" w:eastAsia="仿宋_GB2312"/>
          <w:sz w:val="32"/>
          <w:szCs w:val="32"/>
        </w:rPr>
        <w:t>表六：一般公共预算财政拨款基本支出决算明细表</w:t>
      </w:r>
    </w:p>
    <w:p>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rPr>
          <w:rFonts w:ascii="仿宋_GB2312" w:eastAsia="仿宋_GB2312"/>
          <w:sz w:val="32"/>
          <w:szCs w:val="32"/>
        </w:rPr>
      </w:pPr>
      <w:r>
        <w:rPr>
          <w:rFonts w:hint="eastAsia" w:ascii="仿宋_GB2312" w:eastAsia="仿宋_GB2312"/>
          <w:sz w:val="32"/>
          <w:szCs w:val="32"/>
        </w:rPr>
        <w:t>表九：财政拨款“三公”经费支出决算表</w:t>
      </w:r>
    </w:p>
    <w:p>
      <w:pPr>
        <w:jc w:val="left"/>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中国共产党环江毛南族自治县委员会统一战线工作部</w:t>
      </w:r>
      <w:r>
        <w:rPr>
          <w:rFonts w:hint="eastAsia" w:ascii="黑体" w:hAnsi="黑体" w:eastAsia="黑体" w:cs="黑体"/>
          <w:sz w:val="32"/>
          <w:szCs w:val="32"/>
        </w:rPr>
        <w:t>2022年度部门决算情况说明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2022</w:t>
      </w:r>
      <w:r>
        <w:rPr>
          <w:rFonts w:hint="eastAsia" w:ascii="仿宋_GB2312" w:eastAsia="仿宋_GB2312" w:cs="仿宋_GB2312"/>
          <w:kern w:val="0"/>
          <w:sz w:val="32"/>
          <w:szCs w:val="32"/>
        </w:rPr>
        <w:t>年度收入支出决算总体情况。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2022</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三、2022年度一般公共预算财政拨款基本支出决算情况说明。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2022</w:t>
      </w:r>
      <w:r>
        <w:rPr>
          <w:rFonts w:hint="eastAsia" w:ascii="仿宋_GB2312" w:eastAsia="仿宋_GB2312" w:cs="仿宋_GB2312"/>
          <w:kern w:val="0"/>
          <w:sz w:val="32"/>
          <w:szCs w:val="32"/>
        </w:rPr>
        <w:t>年度政府性基金支出决算情况。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五、2022年度国有资本经营预算支出决算情况。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仿宋" w:hAnsi="仿宋" w:eastAsia="仿宋" w:cs="仿宋"/>
          <w:sz w:val="32"/>
          <w:szCs w:val="32"/>
        </w:rPr>
      </w:pPr>
      <w:r>
        <w:rPr>
          <w:rFonts w:hint="eastAsia" w:ascii="黑体" w:hAnsi="黑体" w:eastAsia="黑体" w:cs="黑体"/>
          <w:b/>
          <w:bCs/>
          <w:sz w:val="32"/>
          <w:szCs w:val="32"/>
        </w:rPr>
        <w:t>第一部分：</w:t>
      </w:r>
      <w:r>
        <w:rPr>
          <w:rFonts w:ascii="黑体" w:hAnsi="黑体" w:eastAsia="黑体" w:cs="黑体"/>
          <w:b/>
          <w:sz w:val="32"/>
        </w:rPr>
        <w:t>中国共产党环江毛南族自治县委员会统一战线工作部</w:t>
      </w:r>
      <w:r>
        <w:rPr>
          <w:rFonts w:hint="eastAsia" w:ascii="黑体" w:hAnsi="黑体" w:eastAsia="黑体" w:cs="黑体"/>
          <w:b/>
          <w:bCs/>
          <w:sz w:val="32"/>
          <w:szCs w:val="32"/>
        </w:rPr>
        <w:t>概况</w:t>
      </w:r>
    </w:p>
    <w:p>
      <w:pPr>
        <w:jc w:val="left"/>
        <w:rPr>
          <w:rFonts w:ascii="仿宋" w:hAnsi="仿宋" w:eastAsia="仿宋" w:cs="仿宋"/>
          <w:sz w:val="32"/>
          <w:szCs w:val="32"/>
        </w:rPr>
      </w:pPr>
      <w:r>
        <w:rPr>
          <w:rFonts w:hint="eastAsia" w:ascii="黑体" w:hAnsi="黑体" w:eastAsia="黑体" w:cs="黑体"/>
          <w:sz w:val="32"/>
          <w:szCs w:val="32"/>
        </w:rPr>
        <w:t>一、主要职能</w:t>
      </w:r>
    </w:p>
    <w:p>
      <w:pPr>
        <w:spacing w:line="560" w:lineRule="exact"/>
        <w:ind w:firstLine="646"/>
        <w:rPr>
          <w:rFonts w:ascii="仿宋_GB2312" w:hAnsi="仿宋_GB2312" w:eastAsia="仿宋_GB2312" w:cs="仿宋_GB2312"/>
          <w:sz w:val="32"/>
          <w:szCs w:val="32"/>
        </w:rPr>
      </w:pPr>
      <w:r>
        <w:rPr>
          <w:rFonts w:hint="eastAsia" w:ascii="仿宋_GB2312" w:hAnsi="仿宋_GB2312" w:eastAsia="仿宋_GB2312" w:cs="仿宋_GB2312"/>
          <w:sz w:val="32"/>
          <w:szCs w:val="32"/>
        </w:rPr>
        <w:t>由于我单位职能配置属于涉密文件，故不公开。</w:t>
      </w:r>
    </w:p>
    <w:p>
      <w:pPr>
        <w:jc w:val="left"/>
        <w:rPr>
          <w:rFonts w:ascii="仿宋" w:hAnsi="仿宋" w:eastAsia="仿宋" w:cs="仿宋"/>
          <w:sz w:val="32"/>
          <w:szCs w:val="32"/>
        </w:rPr>
      </w:pPr>
      <w:r>
        <w:rPr>
          <w:rFonts w:hint="eastAsia" w:ascii="黑体" w:hAnsi="黑体" w:eastAsia="黑体" w:cs="黑体"/>
          <w:sz w:val="32"/>
          <w:szCs w:val="32"/>
        </w:rPr>
        <w:t>二、部门决算单位构成</w:t>
      </w:r>
    </w:p>
    <w:p>
      <w:pPr>
        <w:spacing w:line="560" w:lineRule="exact"/>
        <w:ind w:firstLine="646"/>
        <w:rPr>
          <w:rFonts w:ascii="仿宋_GB2312" w:hAnsi="仿宋_GB2312" w:eastAsia="仿宋_GB2312" w:cs="仿宋_GB2312"/>
          <w:sz w:val="32"/>
          <w:szCs w:val="32"/>
        </w:rPr>
      </w:pPr>
      <w:r>
        <w:rPr>
          <w:rFonts w:hint="eastAsia" w:ascii="仿宋_GB2312" w:hAnsi="仿宋_GB2312" w:eastAsia="仿宋_GB2312" w:cs="仿宋_GB2312"/>
          <w:sz w:val="32"/>
          <w:szCs w:val="32"/>
        </w:rPr>
        <w:t>由于我单位职能配置、单位构成属于涉密文件，故不公开。</w:t>
      </w:r>
    </w:p>
    <w:p>
      <w:pPr>
        <w:jc w:val="center"/>
        <w:rPr>
          <w:rFonts w:ascii="仿宋" w:hAnsi="仿宋" w:eastAsia="仿宋" w:cs="仿宋"/>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ind w:firstLine="960" w:firstLineChars="300"/>
        <w:jc w:val="both"/>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中国共产党环江毛南族自治县委员会统一战线工作部</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w:t>
      </w:r>
      <w:r>
        <w:rPr>
          <w:rFonts w:hint="eastAsia" w:ascii="黑体" w:hAnsi="黑体" w:eastAsia="黑体" w:cs="黑体"/>
          <w:sz w:val="32"/>
          <w:szCs w:val="32"/>
        </w:rPr>
        <w:t>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表一：收入支出决算总表</w:t>
            </w:r>
          </w:p>
          <w:p>
            <w:pPr>
              <w:jc w:val="left"/>
              <w:rPr>
                <w:rFonts w:ascii="仿宋" w:hAnsi="仿宋" w:eastAsia="仿宋" w:cs="仿宋"/>
                <w:sz w:val="24"/>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3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6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广西河池市中国共产党环江毛南族自治县委员会统一战线工作部</w:t>
            </w:r>
          </w:p>
        </w:tc>
        <w:tc>
          <w:tcPr>
            <w:tcW w:w="2669"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190.67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135.55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14.06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11.11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29.94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190.67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190.67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190.67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190.67</w:t>
            </w:r>
          </w:p>
        </w:tc>
      </w:tr>
    </w:tbl>
    <w:p>
      <w:pPr>
        <w:rPr>
          <w:rFonts w:ascii="宋体" w:hAnsi="宋体" w:eastAsia="宋体" w:cs="宋体"/>
          <w:color w:val="000000"/>
          <w:kern w:val="0"/>
          <w:sz w:val="30"/>
          <w:szCs w:val="30"/>
        </w:rPr>
      </w:pPr>
      <w:r>
        <w:rPr>
          <w:rFonts w:hint="eastAsia" w:ascii="宋体" w:hAnsi="宋体" w:eastAsia="宋体" w:cs="宋体"/>
          <w:color w:val="000000"/>
          <w:kern w:val="0"/>
          <w:sz w:val="30"/>
          <w:szCs w:val="30"/>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表二：收入决算表</w:t>
            </w:r>
          </w:p>
          <w:p>
            <w:pPr>
              <w:jc w:val="left"/>
              <w:rPr>
                <w:rFonts w:ascii="仿宋" w:hAnsi="仿宋" w:eastAsia="仿宋" w:cs="仿宋"/>
                <w:sz w:val="24"/>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2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6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09"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广西河池市中国共产党环江毛南族自治县委员会统一战线工作部</w:t>
            </w:r>
          </w:p>
        </w:tc>
        <w:tc>
          <w:tcPr>
            <w:tcW w:w="1373"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67"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8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709"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190.67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190.67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135.55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135.55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20125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港澳台事务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9.32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9.32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2012501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7.88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7.88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2012505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台湾事务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1.43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1.43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20134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统战事务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124.37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124.37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2013401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118.52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118.52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2013404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宗教事务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0.67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0.67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2013405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华侨事务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2013499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其他统战事务支出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3.89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14.06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14.06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14.06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14.06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14.06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14.06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11.11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11.11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11.11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11.11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11.11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11.11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29.94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29.94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29.94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29.94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29.94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29.94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注：本表反映部门本年度取得的各项收入情况。</w:t>
            </w:r>
          </w:p>
        </w:tc>
      </w:tr>
    </w:tbl>
    <w:p>
      <w:pPr>
        <w:jc w:val="cente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表三：支出决算表</w:t>
      </w:r>
    </w:p>
    <w:p>
      <w:pPr>
        <w:jc w:val="left"/>
        <w:rPr>
          <w:rFonts w:ascii="仿宋" w:hAnsi="仿宋" w:eastAsia="仿宋" w:cs="仿宋"/>
          <w:sz w:val="24"/>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2"/>
                <w:szCs w:val="32"/>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3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303"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22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2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60"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4"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02" w:type="dxa"/>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广西河池市中国共产党环江毛南族自治县委员会统一战线工作部</w:t>
            </w:r>
          </w:p>
        </w:tc>
        <w:tc>
          <w:tcPr>
            <w:tcW w:w="1653"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654"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702" w:type="dxa"/>
            <w:tcBorders>
              <w:top w:val="nil"/>
              <w:left w:val="nil"/>
              <w:bottom w:val="single" w:color="auto" w:sz="4" w:space="0"/>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190.67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165.14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25.53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ascii="宋体" w:hAnsi="宋体" w:eastAsia="宋体" w:cs="宋体"/>
                <w:b/>
                <w:bCs/>
                <w:color w:val="00000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135.55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110.02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25.53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20125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港澳台事务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9.32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9.32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2012501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7.88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7.88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2012505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台湾事务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20134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统战事务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124.37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108.17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16.21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2013401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118.52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108.17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10.35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2013404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宗教事务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0.67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0.67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2013405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华侨事务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1.30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2013499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其他统战事务支出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3.89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3.89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14.06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14.06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14.06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11.11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11.11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11.11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29.94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29.94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29.94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29.94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29.94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29.94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注：本表反映部门本年度各项支出情况。</w:t>
            </w:r>
          </w:p>
        </w:tc>
      </w:tr>
    </w:tbl>
    <w:p>
      <w:pPr>
        <w:rPr>
          <w:rFonts w:ascii="仿宋" w:hAnsi="仿宋" w:eastAsia="仿宋" w:cs="仿宋"/>
          <w:sz w:val="24"/>
        </w:rPr>
      </w:pP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表四：财政拨款收入支出决算总表</w:t>
      </w:r>
    </w:p>
    <w:p>
      <w:pPr>
        <w:jc w:val="left"/>
        <w:rPr>
          <w:rFonts w:ascii="仿宋" w:hAnsi="仿宋" w:eastAsia="仿宋" w:cs="仿宋"/>
          <w:sz w:val="24"/>
        </w:rPr>
      </w:pPr>
    </w:p>
    <w:tbl>
      <w:tblPr>
        <w:tblStyle w:val="7"/>
        <w:tblW w:w="4966" w:type="pct"/>
        <w:tblInd w:w="0" w:type="dxa"/>
        <w:tblLayout w:type="fixed"/>
        <w:tblCellMar>
          <w:top w:w="0" w:type="dxa"/>
          <w:left w:w="108" w:type="dxa"/>
          <w:bottom w:w="0" w:type="dxa"/>
          <w:right w:w="108" w:type="dxa"/>
        </w:tblCellMar>
      </w:tblPr>
      <w:tblGrid>
        <w:gridCol w:w="2213"/>
        <w:gridCol w:w="786"/>
        <w:gridCol w:w="1306"/>
        <w:gridCol w:w="2359"/>
        <w:gridCol w:w="850"/>
        <w:gridCol w:w="1090"/>
        <w:gridCol w:w="1771"/>
        <w:gridCol w:w="1808"/>
        <w:gridCol w:w="1895"/>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6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2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4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72"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广西河池市中国共产党环江毛南族自治县委员会统一战线工作部</w:t>
            </w:r>
          </w:p>
        </w:tc>
        <w:tc>
          <w:tcPr>
            <w:tcW w:w="629"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40"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72" w:type="pct"/>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190.67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135.55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135.55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14.06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14.06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11.11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11.11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29.94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29.94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190.67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190.67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190.67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190.67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190.67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190.67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注：本表反映部门本年度一般公共预算财政拨款、政府性基金预算财政拨款和国有资本经营预算财政拨款的总收支和年末结转结余情况。</w:t>
            </w:r>
          </w:p>
          <w:p>
            <w:pPr>
              <w:widowControl/>
              <w:jc w:val="left"/>
              <w:textAlignment w:val="center"/>
              <w:rPr>
                <w:rFonts w:ascii="宋体" w:hAnsi="宋体" w:eastAsia="宋体" w:cs="宋体"/>
                <w:color w:val="000000"/>
                <w:kern w:val="0"/>
                <w:sz w:val="22"/>
                <w:szCs w:val="22"/>
              </w:rPr>
            </w:pPr>
          </w:p>
          <w:p>
            <w:pPr>
              <w:widowControl/>
              <w:jc w:val="left"/>
              <w:textAlignment w:val="center"/>
              <w:rPr>
                <w:rFonts w:ascii="宋体" w:hAnsi="宋体" w:eastAsia="宋体" w:cs="宋体"/>
                <w:color w:val="000000"/>
                <w:kern w:val="0"/>
                <w:sz w:val="22"/>
                <w:szCs w:val="22"/>
              </w:rPr>
            </w:pPr>
          </w:p>
        </w:tc>
        <w:tc>
          <w:tcPr>
            <w:tcW w:w="672" w:type="pct"/>
            <w:tcBorders>
              <w:top w:val="single" w:color="auto" w:sz="4" w:space="0"/>
              <w:left w:val="nil"/>
              <w:bottom w:val="nil"/>
              <w:right w:val="nil"/>
            </w:tcBorders>
            <w:shd w:val="clear" w:color="auto" w:fill="auto"/>
            <w:noWrap/>
            <w:vAlign w:val="center"/>
          </w:tcPr>
          <w:p>
            <w:pPr>
              <w:jc w:val="left"/>
              <w:rPr>
                <w:rFonts w:ascii="宋体" w:hAnsi="宋体" w:eastAsia="宋体" w:cs="宋体"/>
                <w:color w:val="000000"/>
                <w:sz w:val="20"/>
                <w:szCs w:val="20"/>
              </w:rPr>
            </w:pP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表五：一般公共预算财政拨款支出决算表</w:t>
      </w:r>
    </w:p>
    <w:p>
      <w:pPr>
        <w:jc w:val="left"/>
        <w:rPr>
          <w:rFonts w:ascii="仿宋" w:hAnsi="仿宋" w:eastAsia="仿宋" w:cs="仿宋"/>
          <w:sz w:val="24"/>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5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广西河池市中国共产党环江毛南族自治县委员会统一战线工作部</w:t>
            </w:r>
          </w:p>
        </w:tc>
        <w:tc>
          <w:tcPr>
            <w:tcW w:w="3107"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190.67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165.14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25.53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135.55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110.02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25.53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20125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港澳台事务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9.32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9.32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2012501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7.88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7.88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2012505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台湾事务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20134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统战事务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124.37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108.17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16.21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2013401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118.52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108.17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10.35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2013404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宗教事务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0.67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0.67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2013405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华侨事务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1.30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2013499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其他统战事务支出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3.89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3.89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14.06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14.06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14.06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14.06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14.06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14.06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11.11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11.11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11.11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11.11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11.11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11.11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29.94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29.94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29.94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29.94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29.94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29.94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注：本表反映部门本年度一般公共预算财政拨款支出情况。</w:t>
            </w: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表六：一般公共预算财政拨款基本支出决算表</w:t>
      </w:r>
    </w:p>
    <w:p>
      <w:pPr>
        <w:jc w:val="left"/>
        <w:rPr>
          <w:rFonts w:ascii="仿宋" w:hAnsi="仿宋" w:eastAsia="仿宋" w:cs="仿宋"/>
          <w:sz w:val="24"/>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7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0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0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广西河池市中国共产党环江毛南族自治县委员会统一战线工作部</w:t>
            </w:r>
          </w:p>
        </w:tc>
        <w:tc>
          <w:tcPr>
            <w:tcW w:w="116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3456"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科目编码</w:t>
            </w:r>
          </w:p>
          <w:p>
            <w:pPr>
              <w:widowControl/>
              <w:jc w:val="center"/>
              <w:textAlignment w:val="center"/>
              <w:rPr>
                <w:rFonts w:ascii="宋体" w:hAnsi="宋体" w:eastAsia="宋体" w:cs="宋体"/>
                <w:color w:val="000000"/>
                <w:sz w:val="22"/>
                <w:szCs w:val="22"/>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139.62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13.96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35.90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23.01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44.61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15.17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6.45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1.66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11.36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2.90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11.56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8.47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1.86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8.40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2.00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rPr>
              <w:t>人员经费合计</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bookmarkStart w:id="0" w:name="OLE_LINK4"/>
            <w:bookmarkEnd w:id="0"/>
            <w:bookmarkStart w:id="1" w:name="OLE_LINK3"/>
            <w:bookmarkEnd w:id="1"/>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151.18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13.96</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注：本表反映部门本年度一般公共预算财政拨款基本支出明细情况。</w:t>
            </w: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表七：政府性基金预算财政拨款收入支出决算表</w:t>
      </w:r>
    </w:p>
    <w:p>
      <w:pPr>
        <w:jc w:val="left"/>
        <w:rPr>
          <w:rFonts w:ascii="仿宋" w:hAnsi="仿宋" w:eastAsia="仿宋" w:cs="仿宋"/>
          <w:sz w:val="24"/>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30"/>
        <w:gridCol w:w="1948"/>
      </w:tblGrid>
      <w:tr>
        <w:tblPrEx>
          <w:tblCellMar>
            <w:top w:w="0" w:type="dxa"/>
            <w:left w:w="108" w:type="dxa"/>
            <w:bottom w:w="0" w:type="dxa"/>
            <w:right w:w="108" w:type="dxa"/>
          </w:tblCellMar>
        </w:tblPrEx>
        <w:trPr>
          <w:trHeight w:val="536" w:hRule="atLeast"/>
        </w:trPr>
        <w:tc>
          <w:tcPr>
            <w:tcW w:w="13982" w:type="dxa"/>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108" w:type="dxa"/>
            <w:bottom w:w="0" w:type="dxa"/>
            <w:right w:w="108" w:type="dxa"/>
          </w:tblCellMar>
        </w:tblPrEx>
        <w:trPr>
          <w:trHeight w:val="268" w:hRule="atLeast"/>
        </w:trPr>
        <w:tc>
          <w:tcPr>
            <w:tcW w:w="8624"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广西河池市中国共产党环江毛南族自治县委员会统一战线工作部</w:t>
            </w:r>
          </w:p>
        </w:tc>
        <w:tc>
          <w:tcPr>
            <w:tcW w:w="168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w:t>
            </w:r>
          </w:p>
        </w:tc>
        <w:tc>
          <w:tcPr>
            <w:tcW w:w="50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c>
          <w:tcPr>
            <w:tcW w:w="1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3982" w:type="dxa"/>
            <w:gridSpan w:val="10"/>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注：本表反映部门本年度政府性基金预算财政拨款收入、支出及结转和结余情况。</w:t>
            </w:r>
          </w:p>
          <w:p>
            <w:pPr>
              <w:rPr>
                <w:rFonts w:ascii="宋体" w:hAnsi="宋体" w:eastAsia="宋体" w:cs="宋体"/>
                <w:color w:val="000000"/>
                <w:kern w:val="0"/>
                <w:sz w:val="22"/>
                <w:szCs w:val="22"/>
              </w:rPr>
            </w:pPr>
            <w:r>
              <w:rPr>
                <w:rFonts w:hint="eastAsia" w:ascii="宋体" w:hAnsi="宋体" w:eastAsia="宋体" w:cs="宋体"/>
                <w:color w:val="000000"/>
                <w:kern w:val="0"/>
                <w:sz w:val="22"/>
                <w:szCs w:val="22"/>
              </w:rPr>
              <w:t>本部门</w:t>
            </w:r>
            <w:r>
              <w:rPr>
                <w:rFonts w:ascii="宋体" w:hAnsi="宋体" w:eastAsia="宋体" w:cs="宋体"/>
                <w:color w:val="000000"/>
                <w:kern w:val="0"/>
                <w:sz w:val="22"/>
                <w:szCs w:val="22"/>
              </w:rPr>
              <w:t>2022</w:t>
            </w:r>
            <w:r>
              <w:rPr>
                <w:rFonts w:hint="eastAsia" w:ascii="宋体" w:hAnsi="宋体" w:eastAsia="宋体" w:cs="宋体"/>
                <w:color w:val="000000"/>
                <w:kern w:val="0"/>
                <w:sz w:val="22"/>
                <w:szCs w:val="22"/>
              </w:rPr>
              <w:t xml:space="preserve">年度没有政府性基金预算财政拨款收入，也没有政府性基金预算财政拨款安排的支出，故本表无数据 </w:t>
            </w:r>
          </w:p>
          <w:p>
            <w:pPr>
              <w:widowControl/>
              <w:jc w:val="left"/>
              <w:textAlignment w:val="center"/>
              <w:rPr>
                <w:rFonts w:ascii="宋体" w:hAnsi="宋体" w:eastAsia="宋体" w:cs="宋体"/>
                <w:color w:val="000000"/>
                <w:kern w:val="0"/>
                <w:sz w:val="22"/>
                <w:szCs w:val="22"/>
              </w:rPr>
            </w:pP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表八：国有资本经营预算财政拨款支出决算表</w:t>
      </w:r>
    </w:p>
    <w:p>
      <w:pPr>
        <w:jc w:val="left"/>
        <w:rPr>
          <w:rFonts w:ascii="仿宋" w:hAnsi="仿宋" w:eastAsia="仿宋" w:cs="仿宋"/>
          <w:sz w:val="24"/>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9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广西河池市中国共产党环江毛南族自治县委员会统一战线工作部</w:t>
            </w: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99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31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306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bl>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注：本表反映部门本年度国有资本经营预算财政拨款支出情况。</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本部门</w:t>
      </w:r>
      <w:r>
        <w:rPr>
          <w:rFonts w:ascii="宋体" w:hAnsi="宋体" w:eastAsia="宋体" w:cs="宋体"/>
          <w:color w:val="000000"/>
          <w:kern w:val="0"/>
          <w:sz w:val="22"/>
          <w:szCs w:val="22"/>
        </w:rPr>
        <w:t>2022</w:t>
      </w:r>
      <w:r>
        <w:rPr>
          <w:rFonts w:hint="eastAsia" w:ascii="宋体" w:hAnsi="宋体" w:eastAsia="宋体" w:cs="宋体"/>
          <w:color w:val="000000"/>
          <w:kern w:val="0"/>
          <w:sz w:val="22"/>
          <w:szCs w:val="22"/>
        </w:rPr>
        <w:t>年度没有国有资本经营预算财政拨款收入，也没有国有资本经营预算财政拨款安排的支出，故本表无数据</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表九：财政拨款“三公”经费支出决算表</w:t>
            </w:r>
          </w:p>
          <w:p>
            <w:pPr>
              <w:widowControl/>
              <w:jc w:val="center"/>
              <w:textAlignment w:val="bottom"/>
              <w:rPr>
                <w:rFonts w:ascii="宋体" w:hAnsi="宋体" w:eastAsia="宋体" w:cs="宋体"/>
                <w:color w:val="000000"/>
                <w:kern w:val="0"/>
                <w:sz w:val="30"/>
                <w:szCs w:val="30"/>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73"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ascii="宋体" w:hAnsi="宋体" w:eastAsia="宋体" w:cs="宋体"/>
                <w:color w:val="000000"/>
                <w:sz w:val="20"/>
              </w:rPr>
              <w:t>广西河池市中国共产党环江毛南族自治县委员会统一战线工作部</w:t>
            </w: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6"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4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6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6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p>
            <w:pPr>
              <w:widowControl/>
              <w:jc w:val="center"/>
              <w:textAlignment w:val="center"/>
              <w:rPr>
                <w:rFonts w:ascii="宋体" w:hAnsi="宋体" w:eastAsia="宋体" w:cs="宋体"/>
                <w:color w:val="000000"/>
                <w:sz w:val="22"/>
                <w:szCs w:val="22"/>
              </w:rPr>
            </w:pPr>
          </w:p>
        </w:tc>
        <w:tc>
          <w:tcPr>
            <w:tcW w:w="14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116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10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3.02</w:t>
            </w: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3.02</w:t>
            </w:r>
          </w:p>
        </w:tc>
        <w:tc>
          <w:tcPr>
            <w:tcW w:w="106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3.02</w:t>
            </w:r>
          </w:p>
        </w:tc>
        <w:tc>
          <w:tcPr>
            <w:tcW w:w="11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tcPr>
          <w:p>
            <w:pPr>
              <w:jc w:val="right"/>
            </w:pPr>
            <w:r>
              <w:t>0.00</w:t>
            </w:r>
          </w:p>
        </w:tc>
        <w:tc>
          <w:tcPr>
            <w:tcW w:w="1073" w:type="dxa"/>
            <w:tcBorders>
              <w:top w:val="nil"/>
              <w:left w:val="nil"/>
              <w:bottom w:val="single" w:color="000000" w:sz="4" w:space="0"/>
              <w:right w:val="single" w:color="000000" w:sz="4" w:space="0"/>
            </w:tcBorders>
            <w:shd w:val="clear" w:color="auto" w:fill="auto"/>
            <w:noWrap/>
          </w:tcPr>
          <w:p>
            <w:pPr>
              <w:jc w:val="right"/>
            </w:pPr>
            <w:r>
              <w:rPr>
                <w:rFonts w:hint="eastAsia" w:ascii="宋体" w:hAnsi="宋体" w:eastAsia="宋体" w:cs="宋体"/>
                <w:color w:val="000000"/>
                <w:kern w:val="0"/>
                <w:sz w:val="22"/>
                <w:szCs w:val="22"/>
              </w:rPr>
              <w:t>3.02</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本部门</w:t>
            </w:r>
            <w:r>
              <w:rPr>
                <w:rFonts w:ascii="宋体" w:hAnsi="宋体" w:eastAsia="宋体" w:cs="宋体"/>
                <w:color w:val="000000"/>
                <w:kern w:val="0"/>
                <w:sz w:val="22"/>
                <w:szCs w:val="22"/>
              </w:rPr>
              <w:t>2022</w:t>
            </w:r>
            <w:r>
              <w:rPr>
                <w:rFonts w:hint="eastAsia" w:ascii="宋体" w:hAnsi="宋体" w:eastAsia="宋体" w:cs="宋体"/>
                <w:color w:val="000000"/>
                <w:kern w:val="0"/>
                <w:sz w:val="22"/>
                <w:szCs w:val="22"/>
              </w:rPr>
              <w:t xml:space="preserve">年度没有财政拨款“三公”经费收入，也没有财政拨款“三公”经费安排的支出，故本表无数据  </w:t>
            </w:r>
          </w:p>
        </w:tc>
      </w:tr>
    </w:tbl>
    <w:p>
      <w:pPr>
        <w:ind w:firstLine="420"/>
        <w:jc w:val="left"/>
        <w:rPr>
          <w:rFonts w:ascii="仿宋" w:hAnsi="仿宋" w:eastAsia="仿宋" w:cs="仿宋"/>
          <w:sz w:val="24"/>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rPr>
      </w:pPr>
    </w:p>
    <w:p>
      <w:pPr>
        <w:jc w:val="center"/>
        <w:rPr>
          <w:rFonts w:ascii="仿宋" w:hAnsi="仿宋" w:eastAsia="仿宋" w:cs="仿宋"/>
          <w:sz w:val="32"/>
          <w:szCs w:val="32"/>
        </w:rPr>
      </w:pPr>
      <w:r>
        <w:rPr>
          <w:rFonts w:hint="eastAsia" w:ascii="黑体" w:hAnsi="黑体" w:eastAsia="黑体" w:cs="黑体"/>
          <w:sz w:val="32"/>
          <w:szCs w:val="32"/>
        </w:rPr>
        <w:t>第三部分：</w:t>
      </w:r>
      <w:r>
        <w:rPr>
          <w:rFonts w:hint="eastAsia" w:ascii="黑体" w:hAnsi="黑体" w:eastAsia="黑体" w:cs="黑体"/>
          <w:sz w:val="32"/>
          <w:lang w:val="en-US" w:eastAsia="zh-CN"/>
        </w:rPr>
        <w:t>=</w:t>
      </w:r>
      <w:r>
        <w:rPr>
          <w:rFonts w:ascii="黑体" w:hAnsi="黑体" w:eastAsia="黑体" w:cs="黑体"/>
          <w:sz w:val="32"/>
        </w:rPr>
        <w:t>中国共产党环江毛南族自治县委员会统一战线工作部</w:t>
      </w:r>
      <w:r>
        <w:rPr>
          <w:rFonts w:hint="eastAsia" w:ascii="黑体" w:hAnsi="黑体" w:eastAsia="黑体" w:cs="黑体"/>
          <w:sz w:val="32"/>
          <w:szCs w:val="32"/>
        </w:rPr>
        <w:t>2022年度部门决算情况说明</w:t>
      </w:r>
    </w:p>
    <w:p>
      <w:pPr>
        <w:jc w:val="left"/>
        <w:rPr>
          <w:rFonts w:ascii="黑体" w:hAnsi="黑体" w:eastAsia="黑体" w:cs="黑体"/>
          <w:sz w:val="32"/>
          <w:szCs w:val="32"/>
        </w:rPr>
      </w:pPr>
      <w:r>
        <w:rPr>
          <w:rFonts w:hint="eastAsia" w:ascii="黑体" w:hAnsi="黑体" w:eastAsia="黑体" w:cs="黑体"/>
          <w:sz w:val="32"/>
          <w:szCs w:val="32"/>
        </w:rPr>
        <w:t>一、2022年度收入支出决算总体情况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（一）本部门2022年度总收入</w:t>
      </w:r>
      <w:r>
        <w:rPr>
          <w:rFonts w:ascii="仿宋" w:hAnsi="仿宋" w:eastAsia="仿宋" w:cs="仿宋"/>
          <w:sz w:val="32"/>
        </w:rPr>
        <w:t>190.67</w:t>
      </w:r>
      <w:r>
        <w:rPr>
          <w:rFonts w:hint="eastAsia" w:ascii="仿宋" w:hAnsi="仿宋" w:eastAsia="仿宋" w:cs="仿宋"/>
          <w:sz w:val="32"/>
          <w:szCs w:val="32"/>
        </w:rPr>
        <w:t>万元，较2021年度决算数</w:t>
      </w:r>
      <w:r>
        <w:rPr>
          <w:rFonts w:ascii="仿宋" w:hAnsi="仿宋" w:eastAsia="仿宋" w:cs="仿宋"/>
          <w:sz w:val="32"/>
        </w:rPr>
        <w:t>减少25.01</w:t>
      </w:r>
      <w:r>
        <w:rPr>
          <w:rFonts w:hint="eastAsia" w:ascii="仿宋" w:hAnsi="仿宋" w:eastAsia="仿宋" w:cs="仿宋"/>
          <w:sz w:val="32"/>
          <w:szCs w:val="32"/>
        </w:rPr>
        <w:t>万元，</w:t>
      </w:r>
      <w:r>
        <w:rPr>
          <w:rFonts w:ascii="仿宋" w:hAnsi="仿宋" w:eastAsia="仿宋" w:cs="仿宋"/>
          <w:sz w:val="32"/>
        </w:rPr>
        <w:t>下降11.60%</w:t>
      </w:r>
      <w:r>
        <w:rPr>
          <w:rFonts w:hint="eastAsia" w:ascii="仿宋" w:hAnsi="仿宋" w:eastAsia="仿宋" w:cs="仿宋"/>
          <w:sz w:val="32"/>
          <w:szCs w:val="32"/>
        </w:rPr>
        <w:t>，其中本年收入</w:t>
      </w:r>
      <w:r>
        <w:rPr>
          <w:rFonts w:ascii="仿宋" w:hAnsi="仿宋" w:eastAsia="仿宋" w:cs="仿宋"/>
          <w:sz w:val="32"/>
        </w:rPr>
        <w:t>190.67</w:t>
      </w:r>
      <w:r>
        <w:rPr>
          <w:rFonts w:hint="eastAsia" w:ascii="仿宋" w:hAnsi="仿宋" w:eastAsia="仿宋" w:cs="仿宋"/>
          <w:sz w:val="32"/>
          <w:szCs w:val="32"/>
        </w:rPr>
        <w:t>万元。收入具体情况如下。</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1.一般公共预算财政拨款收入</w:t>
      </w:r>
      <w:r>
        <w:rPr>
          <w:rFonts w:ascii="仿宋" w:hAnsi="仿宋" w:eastAsia="仿宋" w:cs="仿宋"/>
          <w:sz w:val="32"/>
        </w:rPr>
        <w:t>190.67</w:t>
      </w:r>
      <w:r>
        <w:rPr>
          <w:rFonts w:hint="eastAsia" w:ascii="仿宋" w:hAnsi="仿宋" w:eastAsia="仿宋" w:cs="仿宋"/>
          <w:sz w:val="32"/>
          <w:szCs w:val="32"/>
        </w:rPr>
        <w:t>万元，为环江毛南族自治县本级财政当年拨付的资金。较2021年度决算数</w:t>
      </w:r>
      <w:r>
        <w:rPr>
          <w:rFonts w:ascii="仿宋" w:hAnsi="仿宋" w:eastAsia="仿宋" w:cs="仿宋"/>
          <w:sz w:val="32"/>
        </w:rPr>
        <w:t>减少25.01</w:t>
      </w:r>
      <w:r>
        <w:rPr>
          <w:rFonts w:hint="eastAsia" w:ascii="仿宋" w:hAnsi="仿宋" w:eastAsia="仿宋" w:cs="仿宋"/>
          <w:sz w:val="32"/>
          <w:szCs w:val="32"/>
        </w:rPr>
        <w:t>万元，</w:t>
      </w:r>
      <w:r>
        <w:rPr>
          <w:rFonts w:ascii="仿宋" w:hAnsi="仿宋" w:eastAsia="仿宋" w:cs="仿宋"/>
          <w:sz w:val="32"/>
        </w:rPr>
        <w:t>下降11.60%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主要原因：一些项目今年不再开展。</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2.政府性基金预算财政拨款收入</w:t>
      </w:r>
      <w:r>
        <w:rPr>
          <w:rFonts w:ascii="仿宋" w:hAnsi="仿宋" w:eastAsia="仿宋" w:cs="仿宋"/>
          <w:sz w:val="32"/>
        </w:rPr>
        <w:t>0.00</w:t>
      </w:r>
      <w:r>
        <w:rPr>
          <w:rFonts w:hint="eastAsia" w:ascii="仿宋" w:hAnsi="仿宋" w:eastAsia="仿宋" w:cs="仿宋"/>
          <w:sz w:val="32"/>
          <w:szCs w:val="32"/>
        </w:rPr>
        <w:t>万元，为环江毛南族自治县本级财政当年拨付的资金。较2021年度决算数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主要原因：本单位没有此项收入。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3.国有资本经营预算财政拨款收入</w:t>
      </w:r>
      <w:r>
        <w:rPr>
          <w:rFonts w:ascii="仿宋" w:hAnsi="仿宋" w:eastAsia="仿宋" w:cs="仿宋"/>
          <w:sz w:val="32"/>
        </w:rPr>
        <w:t>0.00</w:t>
      </w:r>
      <w:r>
        <w:rPr>
          <w:rFonts w:hint="eastAsia" w:ascii="仿宋" w:hAnsi="仿宋" w:eastAsia="仿宋" w:cs="仿宋"/>
          <w:sz w:val="32"/>
          <w:szCs w:val="32"/>
        </w:rPr>
        <w:t>万元。为环江毛南族自治县本级财政当年拨付的资金。较2021年度决算数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主要原因是：本单位没有此项收入。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4.上级补助收入</w:t>
      </w:r>
      <w:r>
        <w:rPr>
          <w:rFonts w:ascii="仿宋" w:hAnsi="仿宋" w:eastAsia="仿宋" w:cs="仿宋"/>
          <w:sz w:val="32"/>
        </w:rPr>
        <w:t>0.00</w:t>
      </w:r>
      <w:r>
        <w:rPr>
          <w:rFonts w:hint="eastAsia" w:ascii="仿宋" w:hAnsi="仿宋" w:eastAsia="仿宋" w:cs="仿宋"/>
          <w:sz w:val="32"/>
          <w:szCs w:val="32"/>
        </w:rPr>
        <w:t>万元，为上级部门当年拨付的资金。较2021年度决算数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主要原因是：</w:t>
      </w:r>
      <w:r>
        <w:rPr>
          <w:rFonts w:hint="eastAsia" w:ascii="仿宋" w:hAnsi="仿宋" w:eastAsia="仿宋" w:cs="仿宋"/>
          <w:sz w:val="32"/>
          <w:szCs w:val="32"/>
        </w:rPr>
        <w:t>本单位没有上级补助收入。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5.事业收入</w:t>
      </w:r>
      <w:r>
        <w:rPr>
          <w:rFonts w:ascii="仿宋" w:hAnsi="仿宋" w:eastAsia="仿宋" w:cs="仿宋"/>
          <w:sz w:val="32"/>
        </w:rPr>
        <w:t>0.00</w:t>
      </w:r>
      <w:r>
        <w:rPr>
          <w:rFonts w:hint="eastAsia" w:ascii="仿宋" w:hAnsi="仿宋" w:eastAsia="仿宋" w:cs="仿宋"/>
          <w:sz w:val="32"/>
          <w:szCs w:val="32"/>
        </w:rPr>
        <w:t>万元，为事业单位开展业务活动取得的收入。较2021年度决算数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主要原因是：本单位没有事业收入。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6.</w:t>
      </w:r>
      <w:r>
        <w:rPr>
          <w:rFonts w:hint="eastAsia" w:ascii="仿宋" w:hAnsi="仿宋" w:eastAsia="仿宋" w:cs="仿宋"/>
          <w:sz w:val="36"/>
          <w:szCs w:val="36"/>
        </w:rPr>
        <w:t>经营收入</w:t>
      </w:r>
      <w:r>
        <w:rPr>
          <w:rFonts w:hint="eastAsia" w:ascii="仿宋" w:hAnsi="仿宋" w:eastAsia="仿宋" w:cs="仿宋"/>
          <w:sz w:val="32"/>
          <w:szCs w:val="32"/>
        </w:rPr>
        <w:t>0.00万,为事业单位在业务活动之外开展非独立核算经营活动取得的收入。较2021年度决算数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w:t>
      </w:r>
      <w:r>
        <w:rPr>
          <w:rFonts w:hint="eastAsia" w:ascii="仿宋" w:hAnsi="仿宋" w:eastAsia="仿宋" w:cs="仿宋"/>
          <w:sz w:val="32"/>
          <w:szCs w:val="32"/>
        </w:rPr>
        <w:t>是：本单位没有经营性收入。</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sz w:val="32"/>
          <w:szCs w:val="32"/>
        </w:rPr>
        <w:t>7.附属单位上缴收入</w:t>
      </w:r>
      <w:r>
        <w:rPr>
          <w:rFonts w:ascii="仿宋" w:hAnsi="仿宋" w:eastAsia="仿宋" w:cs="仿宋"/>
          <w:sz w:val="32"/>
        </w:rPr>
        <w:t>0.00</w:t>
      </w:r>
      <w:r>
        <w:rPr>
          <w:rFonts w:hint="eastAsia" w:ascii="仿宋" w:hAnsi="仿宋" w:eastAsia="仿宋" w:cs="仿宋"/>
          <w:sz w:val="32"/>
          <w:szCs w:val="32"/>
        </w:rPr>
        <w:t>万元。较2021年度决算数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主要原因是：本单位无附属单位上缴收入。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8.其他收入</w:t>
      </w:r>
      <w:r>
        <w:rPr>
          <w:rFonts w:ascii="仿宋" w:hAnsi="仿宋" w:eastAsia="仿宋" w:cs="仿宋"/>
          <w:sz w:val="32"/>
        </w:rPr>
        <w:t>0.00</w:t>
      </w:r>
      <w:r>
        <w:rPr>
          <w:rFonts w:hint="eastAsia" w:ascii="仿宋" w:hAnsi="仿宋" w:eastAsia="仿宋" w:cs="仿宋"/>
          <w:sz w:val="32"/>
          <w:szCs w:val="32"/>
        </w:rPr>
        <w:t>万元,为预算单位在“财政拨款收入”“事业收入”“经营收入”之外取得的收入。较2021年度决算数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主要原因是</w:t>
      </w:r>
      <w:r>
        <w:rPr>
          <w:rFonts w:hint="eastAsia" w:ascii="仿宋" w:hAnsi="仿宋" w:eastAsia="仿宋" w:cs="仿宋"/>
          <w:sz w:val="32"/>
        </w:rPr>
        <w:t>：本单位没有其他收入。</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sz w:val="32"/>
          <w:szCs w:val="32"/>
        </w:rPr>
        <w:t>9.使用非财政拨款结余</w:t>
      </w:r>
      <w:r>
        <w:rPr>
          <w:rFonts w:ascii="仿宋" w:hAnsi="仿宋" w:eastAsia="仿宋" w:cs="仿宋"/>
          <w:sz w:val="32"/>
        </w:rPr>
        <w:t>0.00</w:t>
      </w:r>
      <w:r>
        <w:rPr>
          <w:rFonts w:hint="eastAsia" w:ascii="仿宋" w:hAnsi="仿宋" w:eastAsia="仿宋" w:cs="仿宋"/>
          <w:sz w:val="32"/>
          <w:szCs w:val="32"/>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主要原因是：本单位没有非财政拨款结余。</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10.上年结转和结余</w:t>
      </w:r>
      <w:r>
        <w:rPr>
          <w:rFonts w:ascii="仿宋" w:hAnsi="仿宋" w:eastAsia="仿宋" w:cs="仿宋"/>
          <w:sz w:val="32"/>
        </w:rPr>
        <w:t>0.00</w:t>
      </w:r>
      <w:r>
        <w:rPr>
          <w:rFonts w:hint="eastAsia" w:ascii="仿宋" w:hAnsi="仿宋" w:eastAsia="仿宋" w:cs="仿宋"/>
          <w:sz w:val="32"/>
          <w:szCs w:val="32"/>
        </w:rPr>
        <w:t>万元，为以前年度支出预算因客观条件变化未执行完毕、结转到本年度按有关规定继续使用的资金。较2021年度决算数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w:t>
      </w:r>
      <w:r>
        <w:rPr>
          <w:rFonts w:hint="eastAsia" w:ascii="仿宋" w:hAnsi="仿宋" w:eastAsia="仿宋" w:cs="仿宋"/>
          <w:sz w:val="32"/>
          <w:szCs w:val="32"/>
        </w:rPr>
        <w:t>部分项目已在本年执行完毕，不需要结转至下年继续执行。</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429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（二）本部门2022年度总支出</w:t>
      </w:r>
      <w:r>
        <w:rPr>
          <w:rFonts w:ascii="仿宋" w:hAnsi="仿宋" w:eastAsia="仿宋" w:cs="仿宋"/>
          <w:sz w:val="32"/>
        </w:rPr>
        <w:t>190.67</w:t>
      </w:r>
      <w:r>
        <w:rPr>
          <w:rFonts w:hint="eastAsia" w:ascii="仿宋" w:hAnsi="仿宋" w:eastAsia="仿宋" w:cs="仿宋"/>
          <w:sz w:val="32"/>
          <w:szCs w:val="32"/>
        </w:rPr>
        <w:t>万元，其中本年支出</w:t>
      </w:r>
      <w:r>
        <w:rPr>
          <w:rFonts w:ascii="仿宋" w:hAnsi="仿宋" w:eastAsia="仿宋" w:cs="仿宋"/>
          <w:sz w:val="32"/>
        </w:rPr>
        <w:t>190.67</w:t>
      </w:r>
      <w:r>
        <w:rPr>
          <w:rFonts w:hint="eastAsia" w:ascii="仿宋" w:hAnsi="仿宋" w:eastAsia="仿宋" w:cs="仿宋"/>
          <w:sz w:val="32"/>
          <w:szCs w:val="32"/>
        </w:rPr>
        <w:t>万元，较2021年度决算数</w:t>
      </w:r>
      <w:r>
        <w:rPr>
          <w:rFonts w:ascii="仿宋" w:hAnsi="仿宋" w:eastAsia="仿宋" w:cs="仿宋"/>
          <w:sz w:val="32"/>
        </w:rPr>
        <w:t>减少25.01</w:t>
      </w:r>
      <w:r>
        <w:rPr>
          <w:rFonts w:hint="eastAsia" w:ascii="仿宋" w:hAnsi="仿宋" w:eastAsia="仿宋" w:cs="仿宋"/>
          <w:sz w:val="32"/>
          <w:szCs w:val="32"/>
        </w:rPr>
        <w:t>万元，</w:t>
      </w:r>
      <w:r>
        <w:rPr>
          <w:rFonts w:ascii="仿宋" w:hAnsi="仿宋" w:eastAsia="仿宋" w:cs="仿宋"/>
          <w:sz w:val="32"/>
        </w:rPr>
        <w:t>下降11.60%</w:t>
      </w:r>
      <w:r>
        <w:rPr>
          <w:rFonts w:hint="eastAsia" w:ascii="仿宋" w:hAnsi="仿宋" w:eastAsia="仿宋" w:cs="仿宋"/>
          <w:sz w:val="32"/>
          <w:szCs w:val="32"/>
        </w:rPr>
        <w:t>。支出具体情况如下：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rPr>
        <w:t>.</w:t>
      </w:r>
      <w:r>
        <w:rPr>
          <w:rFonts w:hint="eastAsia" w:ascii="仿宋" w:hAnsi="仿宋" w:eastAsia="仿宋" w:cs="仿宋"/>
          <w:sz w:val="32"/>
          <w:szCs w:val="32"/>
        </w:rPr>
        <w:t>一般公共服务支出（201</w:t>
      </w:r>
      <w:r>
        <w:rPr>
          <w:rFonts w:ascii="Calibri" w:hAnsi="Calibri" w:eastAsia="宋体" w:cs="Times New Roman"/>
        </w:rPr>
        <w:t xml:space="preserve"> </w:t>
      </w:r>
      <w:r>
        <w:rPr>
          <w:rFonts w:hint="eastAsia" w:ascii="仿宋" w:hAnsi="仿宋" w:eastAsia="仿宋" w:cs="仿宋"/>
          <w:sz w:val="32"/>
          <w:szCs w:val="32"/>
        </w:rPr>
        <w:t>类）135.55万元：</w:t>
      </w:r>
      <w:r>
        <w:rPr>
          <w:rFonts w:hint="eastAsia" w:ascii="仿宋" w:hAnsi="仿宋" w:eastAsia="仿宋" w:cs="仿宋"/>
          <w:color w:val="000000" w:themeColor="text1"/>
          <w:sz w:val="32"/>
          <w:szCs w:val="32"/>
        </w:rPr>
        <w:t>主要用于：</w:t>
      </w:r>
      <w:r>
        <w:rPr>
          <w:rFonts w:hint="eastAsia" w:ascii="仿宋" w:hAnsi="仿宋" w:eastAsia="仿宋" w:cs="仿宋"/>
          <w:sz w:val="32"/>
          <w:szCs w:val="32"/>
        </w:rPr>
        <w:t>本部门为保证日常运转发生的基本支出和为完成各项工作任务、保障单位事业发展而发生的项目支出。较2021年度决算数减少26.76万元，下降16.49%，</w:t>
      </w:r>
      <w:r>
        <w:rPr>
          <w:rFonts w:hint="eastAsia" w:ascii="仿宋" w:hAnsi="仿宋" w:eastAsia="仿宋" w:cs="仿宋"/>
          <w:color w:val="000000" w:themeColor="text1"/>
          <w:sz w:val="32"/>
          <w:szCs w:val="32"/>
        </w:rPr>
        <w:t>主要原因是：</w:t>
      </w:r>
      <w:r>
        <w:rPr>
          <w:rFonts w:hint="eastAsia" w:ascii="仿宋" w:hAnsi="仿宋" w:eastAsia="仿宋" w:cs="仿宋"/>
          <w:sz w:val="32"/>
          <w:szCs w:val="32"/>
        </w:rPr>
        <w:t>一些项目今年不再开展。</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rPr>
        <w:t>.</w:t>
      </w:r>
      <w:r>
        <w:rPr>
          <w:rFonts w:hint="eastAsia" w:ascii="仿宋" w:hAnsi="仿宋" w:eastAsia="仿宋" w:cs="仿宋"/>
          <w:sz w:val="32"/>
          <w:szCs w:val="32"/>
        </w:rPr>
        <w:t>社会保障和就业支出（208</w:t>
      </w:r>
      <w:r>
        <w:rPr>
          <w:rFonts w:ascii="Calibri" w:hAnsi="Calibri" w:eastAsia="宋体" w:cs="Times New Roman"/>
        </w:rPr>
        <w:t xml:space="preserve"> </w:t>
      </w:r>
      <w:r>
        <w:rPr>
          <w:rFonts w:hint="eastAsia" w:ascii="仿宋" w:hAnsi="仿宋" w:eastAsia="仿宋" w:cs="仿宋"/>
          <w:sz w:val="32"/>
          <w:szCs w:val="32"/>
        </w:rPr>
        <w:t>类）14.06万元：</w:t>
      </w:r>
      <w:r>
        <w:rPr>
          <w:rFonts w:hint="eastAsia" w:ascii="仿宋" w:hAnsi="仿宋" w:eastAsia="仿宋" w:cs="仿宋"/>
          <w:color w:val="000000" w:themeColor="text1"/>
          <w:sz w:val="32"/>
          <w:szCs w:val="32"/>
        </w:rPr>
        <w:t>主要用于：</w:t>
      </w:r>
      <w:r>
        <w:rPr>
          <w:rFonts w:hint="eastAsia" w:ascii="仿宋" w:hAnsi="仿宋" w:eastAsia="仿宋" w:cs="仿宋"/>
          <w:sz w:val="32"/>
          <w:szCs w:val="32"/>
        </w:rPr>
        <w:t>机关事业单位基本养老缴费支出,其他行政事业单位离退休支出。较2021年度决算数增加1.12万元，增长8.66%，</w:t>
      </w:r>
      <w:r>
        <w:rPr>
          <w:rFonts w:hint="eastAsia" w:ascii="仿宋" w:hAnsi="仿宋" w:eastAsia="仿宋" w:cs="仿宋"/>
          <w:color w:val="000000" w:themeColor="text1"/>
          <w:sz w:val="32"/>
          <w:szCs w:val="32"/>
        </w:rPr>
        <w:t>主要原因是：</w:t>
      </w:r>
      <w:r>
        <w:rPr>
          <w:rFonts w:hint="eastAsia" w:ascii="仿宋" w:hAnsi="仿宋" w:eastAsia="仿宋" w:cs="仿宋"/>
          <w:sz w:val="32"/>
          <w:szCs w:val="32"/>
        </w:rPr>
        <w:t>今年人员增加和工资福利增加</w:t>
      </w:r>
      <w:r>
        <w:rPr>
          <w:rFonts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rPr>
        <w:t>.</w:t>
      </w:r>
      <w:r>
        <w:rPr>
          <w:rFonts w:hint="eastAsia" w:ascii="仿宋" w:hAnsi="仿宋" w:eastAsia="仿宋" w:cs="仿宋"/>
          <w:sz w:val="32"/>
          <w:szCs w:val="32"/>
        </w:rPr>
        <w:t>住房保障支出（221</w:t>
      </w:r>
      <w:r>
        <w:rPr>
          <w:rFonts w:ascii="Calibri" w:hAnsi="Calibri" w:eastAsia="宋体" w:cs="Times New Roman"/>
        </w:rPr>
        <w:t xml:space="preserve"> </w:t>
      </w:r>
      <w:r>
        <w:rPr>
          <w:rFonts w:hint="eastAsia" w:ascii="仿宋" w:hAnsi="仿宋" w:eastAsia="仿宋" w:cs="仿宋"/>
          <w:sz w:val="32"/>
          <w:szCs w:val="32"/>
        </w:rPr>
        <w:t>类）11.11万元：</w:t>
      </w:r>
      <w:r>
        <w:rPr>
          <w:rFonts w:hint="eastAsia" w:ascii="仿宋" w:hAnsi="仿宋" w:eastAsia="仿宋" w:cs="仿宋"/>
          <w:color w:val="000000" w:themeColor="text1"/>
          <w:sz w:val="32"/>
          <w:szCs w:val="32"/>
        </w:rPr>
        <w:t>主要用于：</w:t>
      </w:r>
      <w:r>
        <w:rPr>
          <w:rFonts w:hint="eastAsia" w:ascii="仿宋" w:hAnsi="仿宋" w:eastAsia="仿宋" w:cs="仿宋"/>
          <w:sz w:val="32"/>
          <w:szCs w:val="32"/>
        </w:rPr>
        <w:t>按照国家政策规定向职工发放的住房公积金、提租补贴、购房补贴等住房改革方面的支出。较2021年度决算数增加0.70万元，增长6.72%，</w:t>
      </w:r>
      <w:r>
        <w:rPr>
          <w:rFonts w:hint="eastAsia" w:ascii="仿宋" w:hAnsi="仿宋" w:eastAsia="仿宋" w:cs="仿宋"/>
          <w:color w:val="000000" w:themeColor="text1"/>
          <w:sz w:val="32"/>
          <w:szCs w:val="32"/>
        </w:rPr>
        <w:t>主要原因是：</w:t>
      </w:r>
      <w:r>
        <w:rPr>
          <w:rFonts w:hint="eastAsia" w:ascii="仿宋" w:hAnsi="仿宋" w:eastAsia="仿宋" w:cs="仿宋"/>
          <w:sz w:val="32"/>
          <w:szCs w:val="32"/>
        </w:rPr>
        <w:t>今年人员增加和工资福利增加。</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z w:val="32"/>
          <w:szCs w:val="32"/>
        </w:rPr>
        <w:t>其他支出（229</w:t>
      </w:r>
      <w:r>
        <w:rPr>
          <w:rFonts w:ascii="Calibri" w:hAnsi="Calibri" w:eastAsia="宋体" w:cs="Times New Roman"/>
        </w:rPr>
        <w:t xml:space="preserve"> </w:t>
      </w:r>
      <w:r>
        <w:rPr>
          <w:rFonts w:hint="eastAsia" w:ascii="仿宋" w:hAnsi="仿宋" w:eastAsia="仿宋" w:cs="仿宋"/>
          <w:sz w:val="32"/>
          <w:szCs w:val="32"/>
        </w:rPr>
        <w:t>类）29.94万元：</w:t>
      </w:r>
      <w:r>
        <w:rPr>
          <w:rFonts w:hint="eastAsia" w:ascii="仿宋" w:hAnsi="仿宋" w:eastAsia="仿宋" w:cs="仿宋"/>
          <w:color w:val="000000" w:themeColor="text1"/>
          <w:sz w:val="32"/>
          <w:szCs w:val="32"/>
        </w:rPr>
        <w:t>主要用于：</w:t>
      </w:r>
      <w:r>
        <w:rPr>
          <w:rFonts w:hint="eastAsia" w:ascii="仿宋" w:hAnsi="仿宋" w:eastAsia="仿宋" w:cs="仿宋"/>
          <w:sz w:val="32"/>
          <w:szCs w:val="32"/>
        </w:rPr>
        <w:t>年度绩效考评奖支付。较2021年度决算数减少0.09万元，下降0.30%，</w:t>
      </w:r>
      <w:r>
        <w:rPr>
          <w:rFonts w:hint="eastAsia" w:ascii="仿宋" w:hAnsi="仿宋" w:eastAsia="仿宋" w:cs="仿宋"/>
          <w:color w:val="000000" w:themeColor="text1"/>
          <w:sz w:val="32"/>
          <w:szCs w:val="32"/>
        </w:rPr>
        <w:t>主要原因是：</w:t>
      </w:r>
      <w:r>
        <w:rPr>
          <w:rFonts w:hint="eastAsia" w:ascii="仿宋" w:hAnsi="仿宋" w:eastAsia="仿宋" w:cs="仿宋"/>
          <w:sz w:val="32"/>
          <w:szCs w:val="32"/>
        </w:rPr>
        <w:t>绩效考评奖经费支出减少。</w:t>
      </w:r>
    </w:p>
    <w:p>
      <w:pPr>
        <w:ind w:firstLine="640" w:firstLineChars="200"/>
        <w:jc w:val="left"/>
        <w:rPr>
          <w:rFonts w:ascii="仿宋" w:hAnsi="仿宋" w:eastAsia="仿宋_GB2312" w:cs="仿宋"/>
          <w:sz w:val="32"/>
          <w:szCs w:val="32"/>
        </w:rPr>
      </w:pPr>
      <w:r>
        <w:rPr>
          <w:rFonts w:ascii="仿宋" w:hAnsi="仿宋" w:eastAsia="仿宋" w:cs="仿宋"/>
          <w:sz w:val="32"/>
          <w:szCs w:val="32"/>
        </w:rPr>
        <w:t>结余分配</w:t>
      </w:r>
      <w:r>
        <w:rPr>
          <w:rFonts w:hint="eastAsia" w:ascii="仿宋" w:hAnsi="仿宋" w:eastAsia="仿宋" w:cs="仿宋"/>
          <w:sz w:val="32"/>
          <w:szCs w:val="32"/>
        </w:rPr>
        <w:t>0.00</w:t>
      </w:r>
      <w:r>
        <w:rPr>
          <w:rFonts w:ascii="仿宋" w:hAnsi="仿宋" w:eastAsia="仿宋" w:cs="仿宋"/>
          <w:sz w:val="32"/>
          <w:szCs w:val="32"/>
        </w:rPr>
        <w:t>万元，为事业单位按规定提取的专用结余、缴纳所得税和转入非财政拨款结余等。较202</w:t>
      </w:r>
      <w:r>
        <w:rPr>
          <w:rFonts w:hint="eastAsia" w:ascii="仿宋" w:hAnsi="仿宋" w:eastAsia="仿宋" w:cs="仿宋"/>
          <w:sz w:val="32"/>
          <w:szCs w:val="32"/>
        </w:rPr>
        <w:t>1</w:t>
      </w:r>
      <w:r>
        <w:rPr>
          <w:rFonts w:ascii="仿宋" w:hAnsi="仿宋" w:eastAsia="仿宋" w:cs="仿宋"/>
          <w:sz w:val="32"/>
          <w:szCs w:val="32"/>
        </w:rPr>
        <w:t>年决算</w:t>
      </w:r>
      <w:r>
        <w:rPr>
          <w:rFonts w:hint="eastAsia" w:ascii="仿宋" w:hAnsi="仿宋" w:eastAsia="仿宋" w:cs="仿宋"/>
          <w:sz w:val="32"/>
          <w:szCs w:val="32"/>
        </w:rPr>
        <w:t>0.00</w:t>
      </w:r>
      <w:r>
        <w:rPr>
          <w:rFonts w:ascii="仿宋" w:hAnsi="仿宋" w:eastAsia="仿宋" w:cs="仿宋"/>
          <w:sz w:val="32"/>
          <w:szCs w:val="32"/>
        </w:rPr>
        <w:t>万元</w:t>
      </w:r>
      <w:r>
        <w:rPr>
          <w:rFonts w:hint="eastAsia" w:ascii="仿宋" w:hAnsi="仿宋" w:eastAsia="仿宋" w:cs="仿宋"/>
          <w:sz w:val="32"/>
          <w:szCs w:val="32"/>
        </w:rPr>
        <w:t>,增加0.00</w:t>
      </w:r>
      <w:r>
        <w:rPr>
          <w:rFonts w:ascii="仿宋" w:hAnsi="仿宋" w:eastAsia="仿宋" w:cs="仿宋"/>
          <w:sz w:val="32"/>
          <w:szCs w:val="32"/>
        </w:rPr>
        <w:t>万元，</w:t>
      </w:r>
      <w:r>
        <w:rPr>
          <w:rFonts w:hint="eastAsia" w:ascii="仿宋" w:hAnsi="仿宋" w:eastAsia="仿宋" w:cs="仿宋"/>
          <w:sz w:val="32"/>
          <w:szCs w:val="32"/>
        </w:rPr>
        <w:t>增长0%</w:t>
      </w:r>
      <w:r>
        <w:rPr>
          <w:rFonts w:ascii="仿宋" w:hAnsi="仿宋" w:eastAsia="仿宋" w:cs="仿宋"/>
          <w:sz w:val="32"/>
          <w:szCs w:val="32"/>
        </w:rPr>
        <w:t>，主要原因是</w:t>
      </w:r>
      <w:r>
        <w:rPr>
          <w:rFonts w:hint="eastAsia" w:ascii="仿宋" w:hAnsi="仿宋" w:eastAsia="仿宋" w:cs="仿宋"/>
          <w:sz w:val="32"/>
          <w:szCs w:val="32"/>
        </w:rPr>
        <w:t>：</w:t>
      </w:r>
      <w:r>
        <w:rPr>
          <w:rFonts w:hint="eastAsia" w:ascii="仿宋" w:hAnsi="仿宋" w:eastAsia="仿宋" w:cs="仿宋"/>
          <w:color w:val="000000" w:themeColor="text1"/>
          <w:sz w:val="32"/>
          <w:szCs w:val="32"/>
        </w:rPr>
        <w:t>我单位无此项收入。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年末结转和结余</w:t>
      </w:r>
      <w:r>
        <w:rPr>
          <w:rFonts w:ascii="仿宋" w:hAnsi="仿宋" w:eastAsia="仿宋" w:cs="仿宋"/>
          <w:sz w:val="32"/>
        </w:rPr>
        <w:t>0.00</w:t>
      </w:r>
      <w:r>
        <w:rPr>
          <w:rFonts w:hint="eastAsia" w:ascii="仿宋" w:hAnsi="仿宋" w:eastAsia="仿宋" w:cs="仿宋"/>
          <w:sz w:val="32"/>
          <w:szCs w:val="32"/>
        </w:rPr>
        <w:t>万元，</w:t>
      </w:r>
      <w:r>
        <w:rPr>
          <w:rFonts w:hint="eastAsia" w:ascii="仿宋" w:hAnsi="仿宋" w:eastAsia="仿宋" w:cs="仿宋"/>
          <w:color w:val="000000" w:themeColor="text1"/>
          <w:sz w:val="32"/>
          <w:szCs w:val="32"/>
        </w:rPr>
        <w:t>为本年度或以前年度预算安排、因客观条件发生变化无法按原计划实施，需要延迟到以后年度按有关规定继续使用的资金</w:t>
      </w:r>
      <w:r>
        <w:rPr>
          <w:rFonts w:hint="eastAsia" w:ascii="仿宋" w:hAnsi="仿宋" w:eastAsia="仿宋" w:cs="仿宋"/>
          <w:sz w:val="32"/>
          <w:szCs w:val="32"/>
        </w:rPr>
        <w:t>。较2021年度决算数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主要原因是：我单位资金无结余。</w:t>
      </w:r>
    </w:p>
    <w:p>
      <w:pPr>
        <w:ind w:firstLine="640" w:firstLineChars="200"/>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813935" cy="2870200"/>
            <wp:effectExtent l="4445" t="4445" r="20320" b="209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二、2022 年度</w:t>
      </w:r>
      <w:bookmarkStart w:id="2" w:name="OLE_LINK1"/>
      <w:r>
        <w:rPr>
          <w:rFonts w:hint="eastAsia" w:ascii="黑体" w:hAnsi="黑体" w:eastAsia="黑体" w:cs="黑体"/>
          <w:sz w:val="32"/>
          <w:szCs w:val="32"/>
        </w:rPr>
        <w:t>一般公共预算财政拨款支出决算情况</w:t>
      </w:r>
      <w:bookmarkEnd w:id="2"/>
    </w:p>
    <w:p>
      <w:pPr>
        <w:ind w:firstLine="640" w:firstLineChars="200"/>
        <w:jc w:val="left"/>
        <w:rPr>
          <w:rFonts w:ascii="仿宋" w:hAnsi="仿宋" w:eastAsia="仿宋" w:cs="仿宋"/>
          <w:sz w:val="32"/>
          <w:szCs w:val="32"/>
        </w:rPr>
      </w:pPr>
      <w:r>
        <w:rPr>
          <w:rFonts w:hint="eastAsia" w:ascii="仿宋" w:hAnsi="仿宋" w:eastAsia="仿宋" w:cs="仿宋"/>
          <w:sz w:val="32"/>
          <w:szCs w:val="32"/>
        </w:rPr>
        <w:t>中国共产党环江毛南族自治县委员会统一战线工作部2022年度一般公共预算财政拨款支出</w:t>
      </w:r>
      <w:r>
        <w:rPr>
          <w:rFonts w:ascii="仿宋" w:hAnsi="仿宋" w:eastAsia="仿宋" w:cs="仿宋"/>
          <w:sz w:val="32"/>
        </w:rPr>
        <w:t>190.67</w:t>
      </w:r>
      <w:r>
        <w:rPr>
          <w:rFonts w:hint="eastAsia" w:ascii="仿宋" w:hAnsi="仿宋" w:eastAsia="仿宋" w:cs="仿宋"/>
          <w:sz w:val="32"/>
          <w:szCs w:val="32"/>
        </w:rPr>
        <w:t>万元，较2021年度决算数</w:t>
      </w:r>
      <w:r>
        <w:rPr>
          <w:rFonts w:ascii="仿宋" w:hAnsi="仿宋" w:eastAsia="仿宋" w:cs="仿宋"/>
          <w:sz w:val="32"/>
        </w:rPr>
        <w:t>减少25.01</w:t>
      </w:r>
      <w:r>
        <w:rPr>
          <w:rFonts w:hint="eastAsia" w:ascii="仿宋" w:hAnsi="仿宋" w:eastAsia="仿宋" w:cs="仿宋"/>
          <w:sz w:val="32"/>
          <w:szCs w:val="32"/>
        </w:rPr>
        <w:t>万元，</w:t>
      </w:r>
      <w:r>
        <w:rPr>
          <w:rFonts w:ascii="仿宋" w:hAnsi="仿宋" w:eastAsia="仿宋" w:cs="仿宋"/>
          <w:sz w:val="32"/>
        </w:rPr>
        <w:t>下降11.60%</w:t>
      </w:r>
      <w:r>
        <w:rPr>
          <w:rFonts w:hint="eastAsia" w:ascii="仿宋" w:hAnsi="仿宋" w:eastAsia="仿宋" w:cs="仿宋"/>
          <w:sz w:val="32"/>
          <w:szCs w:val="32"/>
        </w:rPr>
        <w:t>。其中：基本支出</w:t>
      </w:r>
      <w:r>
        <w:rPr>
          <w:rFonts w:ascii="仿宋" w:hAnsi="仿宋" w:eastAsia="仿宋" w:cs="仿宋"/>
          <w:sz w:val="32"/>
        </w:rPr>
        <w:t>165.14</w:t>
      </w:r>
      <w:r>
        <w:rPr>
          <w:rFonts w:hint="eastAsia" w:ascii="仿宋" w:hAnsi="仿宋" w:eastAsia="仿宋" w:cs="仿宋"/>
          <w:sz w:val="32"/>
          <w:szCs w:val="32"/>
        </w:rPr>
        <w:t>万元，项目支出</w:t>
      </w:r>
      <w:r>
        <w:rPr>
          <w:rFonts w:ascii="仿宋" w:hAnsi="仿宋" w:eastAsia="仿宋" w:cs="仿宋"/>
          <w:sz w:val="32"/>
        </w:rPr>
        <w:t>25.53</w:t>
      </w:r>
      <w:r>
        <w:rPr>
          <w:rFonts w:hint="eastAsia" w:ascii="仿宋" w:hAnsi="仿宋" w:eastAsia="仿宋" w:cs="仿宋"/>
          <w:sz w:val="32"/>
          <w:szCs w:val="32"/>
        </w:rPr>
        <w:t>万元。</w:t>
      </w:r>
    </w:p>
    <w:p>
      <w:pPr>
        <w:ind w:firstLine="640" w:firstLineChars="200"/>
        <w:jc w:val="left"/>
        <w:rPr>
          <w:rFonts w:ascii="仿宋" w:hAnsi="仿宋" w:eastAsia="仿宋"/>
          <w:sz w:val="32"/>
          <w:szCs w:val="32"/>
        </w:rPr>
      </w:pPr>
      <w:r>
        <w:rPr>
          <w:rFonts w:hint="eastAsia" w:ascii="仿宋" w:hAnsi="仿宋" w:eastAsia="仿宋" w:cs="仿宋"/>
          <w:sz w:val="32"/>
          <w:szCs w:val="32"/>
        </w:rPr>
        <w:t>中国共产党环江毛南族自治县委员会统一战线工作部2022 年度一般公共预算财政拨款支出年初预算为</w:t>
      </w:r>
      <w:r>
        <w:rPr>
          <w:rFonts w:ascii="仿宋" w:hAnsi="仿宋" w:eastAsia="仿宋" w:cs="仿宋"/>
          <w:sz w:val="32"/>
        </w:rPr>
        <w:t>163.94</w:t>
      </w:r>
      <w:r>
        <w:rPr>
          <w:rFonts w:hint="eastAsia" w:ascii="仿宋" w:hAnsi="仿宋" w:eastAsia="仿宋" w:cs="仿宋"/>
          <w:sz w:val="32"/>
          <w:szCs w:val="32"/>
        </w:rPr>
        <w:t>万元，支出决算为</w:t>
      </w:r>
      <w:r>
        <w:rPr>
          <w:rFonts w:ascii="仿宋" w:hAnsi="仿宋" w:eastAsia="仿宋" w:cs="仿宋"/>
          <w:sz w:val="32"/>
        </w:rPr>
        <w:t>190.67</w:t>
      </w:r>
      <w:r>
        <w:rPr>
          <w:rFonts w:hint="eastAsia" w:ascii="仿宋" w:hAnsi="仿宋" w:eastAsia="仿宋" w:cs="仿宋"/>
          <w:sz w:val="32"/>
          <w:szCs w:val="32"/>
        </w:rPr>
        <w:t>万元，完成年初预算的</w:t>
      </w:r>
      <w:r>
        <w:rPr>
          <w:rFonts w:ascii="仿宋" w:hAnsi="仿宋" w:eastAsia="仿宋" w:cs="仿宋"/>
          <w:sz w:val="32"/>
        </w:rPr>
        <w:t>116.30%</w:t>
      </w:r>
      <w:r>
        <w:rPr>
          <w:rFonts w:hint="eastAsia" w:ascii="仿宋" w:hAnsi="仿宋" w:eastAsia="仿宋" w:cs="仿宋"/>
          <w:sz w:val="32"/>
          <w:szCs w:val="32"/>
        </w:rPr>
        <w:t>。</w:t>
      </w:r>
      <w:bookmarkStart w:id="3" w:name="OLE_LINK2"/>
      <w:bookmarkEnd w:id="3"/>
    </w:p>
    <w:p>
      <w:pPr>
        <w:numPr>
          <w:ilvl w:val="0"/>
          <w:numId w:val="1"/>
        </w:numPr>
        <w:jc w:val="left"/>
        <w:rPr>
          <w:rFonts w:eastAsia="仿宋"/>
          <w:color w:val="FF0000"/>
        </w:rPr>
      </w:pPr>
      <w:r>
        <w:rPr>
          <w:rFonts w:hint="eastAsia" w:ascii="仿宋" w:hAnsi="仿宋" w:eastAsia="仿宋"/>
          <w:sz w:val="32"/>
          <w:szCs w:val="32"/>
        </w:rPr>
        <w:t>一般公共服务支出</w:t>
      </w:r>
      <w:r>
        <w:rPr>
          <w:rFonts w:ascii="仿宋" w:hAnsi="仿宋" w:eastAsia="仿宋"/>
          <w:sz w:val="32"/>
        </w:rPr>
        <w:t>（201</w:t>
      </w:r>
      <w:r>
        <w:rPr>
          <w:rFonts w:hint="eastAsia" w:ascii="仿宋" w:hAnsi="仿宋" w:eastAsia="仿宋"/>
          <w:sz w:val="32"/>
          <w:szCs w:val="32"/>
        </w:rPr>
        <w:t>类）年初预算为</w:t>
      </w:r>
      <w:r>
        <w:rPr>
          <w:rFonts w:ascii="仿宋" w:hAnsi="仿宋" w:eastAsia="仿宋"/>
          <w:sz w:val="32"/>
          <w:szCs w:val="32"/>
        </w:rPr>
        <w:t>137.68</w:t>
      </w:r>
      <w:r>
        <w:rPr>
          <w:rFonts w:hint="eastAsia" w:ascii="仿宋" w:hAnsi="仿宋" w:eastAsia="仿宋"/>
          <w:sz w:val="32"/>
          <w:szCs w:val="32"/>
        </w:rPr>
        <w:t>万元，支出决算为</w:t>
      </w:r>
      <w:r>
        <w:rPr>
          <w:rFonts w:ascii="仿宋" w:hAnsi="仿宋" w:eastAsia="仿宋"/>
          <w:sz w:val="32"/>
          <w:szCs w:val="32"/>
        </w:rPr>
        <w:t>135.55</w:t>
      </w:r>
      <w:r>
        <w:rPr>
          <w:rFonts w:hint="eastAsia" w:ascii="仿宋" w:hAnsi="仿宋" w:eastAsia="仿宋"/>
          <w:sz w:val="32"/>
          <w:szCs w:val="32"/>
        </w:rPr>
        <w:t>万元，完成年初预算的</w:t>
      </w:r>
      <w:r>
        <w:rPr>
          <w:rFonts w:ascii="仿宋" w:hAnsi="仿宋" w:eastAsia="仿宋"/>
          <w:sz w:val="32"/>
          <w:szCs w:val="32"/>
        </w:rPr>
        <w:t>98.45%</w:t>
      </w:r>
      <w:r>
        <w:rPr>
          <w:rFonts w:hint="eastAsia" w:ascii="仿宋" w:hAnsi="仿宋" w:eastAsia="仿宋"/>
          <w:sz w:val="32"/>
          <w:szCs w:val="32"/>
        </w:rPr>
        <w:t>。</w:t>
      </w:r>
      <w:r>
        <w:rPr>
          <w:rFonts w:hint="eastAsia" w:ascii="仿宋" w:hAnsi="仿宋" w:eastAsia="仿宋"/>
          <w:color w:val="000000" w:themeColor="text1"/>
          <w:sz w:val="32"/>
          <w:szCs w:val="32"/>
        </w:rPr>
        <w:t>预决算存有差异原因是：</w:t>
      </w:r>
      <w:r>
        <w:rPr>
          <w:rFonts w:hint="eastAsia" w:ascii="仿宋" w:hAnsi="仿宋" w:eastAsia="仿宋" w:cs="仿宋"/>
          <w:bCs/>
          <w:kern w:val="0"/>
          <w:sz w:val="32"/>
          <w:szCs w:val="32"/>
        </w:rPr>
        <w:t>2021年有抚恤金和遗属生活补助金支出，主要用于本部门为保证日常运转发生的基本支出，如根据国家及自治区规定的基本工资和津补贴标准等安排的人员经费支出和日常公用经费支出。</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17" w:type="dxa"/>
        <w:tblInd w:w="96" w:type="dxa"/>
        <w:tblLayout w:type="fixed"/>
        <w:tblCellMar>
          <w:top w:w="0" w:type="dxa"/>
          <w:left w:w="108" w:type="dxa"/>
          <w:bottom w:w="0" w:type="dxa"/>
          <w:right w:w="108" w:type="dxa"/>
        </w:tblCellMar>
      </w:tblPr>
      <w:tblGrid>
        <w:gridCol w:w="955"/>
        <w:gridCol w:w="1076"/>
        <w:gridCol w:w="994"/>
        <w:gridCol w:w="806"/>
        <w:gridCol w:w="1097"/>
        <w:gridCol w:w="1747"/>
        <w:gridCol w:w="1842"/>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完成预算百分比</w:t>
            </w:r>
          </w:p>
        </w:tc>
        <w:tc>
          <w:tcPr>
            <w:tcW w:w="17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主要用于</w:t>
            </w:r>
          </w:p>
        </w:tc>
        <w:tc>
          <w:tcPr>
            <w:tcW w:w="1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2012501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7.88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273.61%</w:t>
            </w:r>
          </w:p>
        </w:tc>
        <w:tc>
          <w:tcPr>
            <w:tcW w:w="17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保障海外华侨事务的正常开展</w:t>
            </w:r>
          </w:p>
        </w:tc>
        <w:tc>
          <w:tcPr>
            <w:tcW w:w="1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保障海外华侨事务的正常开展</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2012505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台湾事务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99.31%</w:t>
            </w:r>
          </w:p>
        </w:tc>
        <w:tc>
          <w:tcPr>
            <w:tcW w:w="17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保障台湾事务的正常开展</w:t>
            </w:r>
          </w:p>
        </w:tc>
        <w:tc>
          <w:tcPr>
            <w:tcW w:w="1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保障台湾事务的正常开展</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工会经费支出</w:t>
            </w:r>
          </w:p>
        </w:tc>
        <w:tc>
          <w:tcPr>
            <w:tcW w:w="1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工会经费支出</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2013401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126.58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118.52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93.63%</w:t>
            </w:r>
          </w:p>
        </w:tc>
        <w:tc>
          <w:tcPr>
            <w:tcW w:w="17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工资福利、项目支出</w:t>
            </w:r>
          </w:p>
        </w:tc>
        <w:tc>
          <w:tcPr>
            <w:tcW w:w="1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人员变动</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2013404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宗教事务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0.67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93.06%</w:t>
            </w:r>
          </w:p>
        </w:tc>
        <w:tc>
          <w:tcPr>
            <w:tcW w:w="17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用于民族宗教事务工作的开展</w:t>
            </w:r>
          </w:p>
        </w:tc>
        <w:tc>
          <w:tcPr>
            <w:tcW w:w="1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用于民族宗教事务工作的开展</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2013405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华侨事务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慰问困难归侨侨眷</w:t>
            </w:r>
          </w:p>
        </w:tc>
        <w:tc>
          <w:tcPr>
            <w:tcW w:w="1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慰问困难归侨侨眷</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2013499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其他统战事务支出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4.20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92.62%</w:t>
            </w:r>
          </w:p>
        </w:tc>
        <w:tc>
          <w:tcPr>
            <w:tcW w:w="17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保障日常工作开展</w:t>
            </w:r>
          </w:p>
        </w:tc>
        <w:tc>
          <w:tcPr>
            <w:tcW w:w="1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活动经费未完成所以经费未支付完全</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137.68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135.55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p>
        </w:tc>
        <w:tc>
          <w:tcPr>
            <w:tcW w:w="18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1"/>
        </w:numPr>
        <w:jc w:val="left"/>
        <w:rPr>
          <w:rFonts w:eastAsia="仿宋"/>
          <w:color w:val="FF0000"/>
        </w:rPr>
      </w:pPr>
      <w:r>
        <w:rPr>
          <w:rFonts w:hint="eastAsia" w:ascii="仿宋" w:hAnsi="仿宋" w:eastAsia="仿宋"/>
          <w:sz w:val="32"/>
          <w:szCs w:val="32"/>
        </w:rPr>
        <w:t>社会保障和就业支出</w:t>
      </w:r>
      <w:r>
        <w:rPr>
          <w:rFonts w:ascii="仿宋" w:hAnsi="仿宋" w:eastAsia="仿宋"/>
          <w:sz w:val="32"/>
        </w:rPr>
        <w:t>（208</w:t>
      </w:r>
      <w:r>
        <w:rPr>
          <w:rFonts w:hint="eastAsia" w:ascii="仿宋" w:hAnsi="仿宋" w:eastAsia="仿宋"/>
          <w:sz w:val="32"/>
          <w:szCs w:val="32"/>
        </w:rPr>
        <w:t>类）年初预算为</w:t>
      </w:r>
      <w:r>
        <w:rPr>
          <w:rFonts w:ascii="仿宋" w:hAnsi="仿宋" w:eastAsia="仿宋"/>
          <w:sz w:val="32"/>
          <w:szCs w:val="32"/>
        </w:rPr>
        <w:t>14.85</w:t>
      </w:r>
      <w:r>
        <w:rPr>
          <w:rFonts w:hint="eastAsia" w:ascii="仿宋" w:hAnsi="仿宋" w:eastAsia="仿宋"/>
          <w:sz w:val="32"/>
          <w:szCs w:val="32"/>
        </w:rPr>
        <w:t>万元，支出决算为</w:t>
      </w:r>
      <w:r>
        <w:rPr>
          <w:rFonts w:ascii="仿宋" w:hAnsi="仿宋" w:eastAsia="仿宋"/>
          <w:sz w:val="32"/>
          <w:szCs w:val="32"/>
        </w:rPr>
        <w:t>14.06</w:t>
      </w:r>
      <w:r>
        <w:rPr>
          <w:rFonts w:hint="eastAsia" w:ascii="仿宋" w:hAnsi="仿宋" w:eastAsia="仿宋"/>
          <w:sz w:val="32"/>
          <w:szCs w:val="32"/>
        </w:rPr>
        <w:t>万元，完成年初预算的</w:t>
      </w:r>
      <w:r>
        <w:rPr>
          <w:rFonts w:ascii="仿宋" w:hAnsi="仿宋" w:eastAsia="仿宋"/>
          <w:sz w:val="32"/>
          <w:szCs w:val="32"/>
        </w:rPr>
        <w:t>94.68%</w:t>
      </w:r>
      <w:r>
        <w:rPr>
          <w:rFonts w:hint="eastAsia" w:ascii="仿宋" w:hAnsi="仿宋" w:eastAsia="仿宋"/>
          <w:sz w:val="32"/>
          <w:szCs w:val="32"/>
        </w:rPr>
        <w:t>。</w:t>
      </w:r>
      <w:r>
        <w:rPr>
          <w:rFonts w:hint="eastAsia" w:ascii="仿宋" w:hAnsi="仿宋" w:eastAsia="仿宋"/>
          <w:color w:val="000000" w:themeColor="text1"/>
          <w:sz w:val="32"/>
          <w:szCs w:val="32"/>
        </w:rPr>
        <w:t>预决算存有差异原因是：</w:t>
      </w:r>
      <w:r>
        <w:rPr>
          <w:rFonts w:hint="eastAsia" w:ascii="仿宋" w:hAnsi="仿宋" w:eastAsia="仿宋" w:cs="仿宋"/>
          <w:bCs/>
          <w:color w:val="000000"/>
          <w:kern w:val="0"/>
          <w:sz w:val="32"/>
          <w:szCs w:val="32"/>
        </w:rPr>
        <w:t>年内有人员变动，社保基数未变动，</w:t>
      </w:r>
      <w:r>
        <w:rPr>
          <w:rFonts w:hint="eastAsia" w:ascii="仿宋" w:hAnsi="仿宋" w:eastAsia="仿宋" w:cs="仿宋"/>
          <w:bCs/>
          <w:kern w:val="0"/>
          <w:sz w:val="32"/>
          <w:szCs w:val="32"/>
        </w:rPr>
        <w:t>主要用于本部门机关事业单位基本养老保险缴费支出。</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14.85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14.06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94.68%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sz w:val="20"/>
                <w:szCs w:val="20"/>
              </w:rPr>
              <w:t>本部门机关事业单位基本养老保险缴费支出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sz w:val="20"/>
                <w:szCs w:val="20"/>
              </w:rPr>
              <w:t>年内有人员变动，社保基数未变动</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14.85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14.06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sz w:val="20"/>
                <w:szCs w:val="20"/>
              </w:rPr>
              <w:t>本部门机关事业单位基本养老保险缴费支出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sz w:val="20"/>
                <w:szCs w:val="20"/>
              </w:rPr>
              <w:t>年内有人员变动，社保基数未变动</w:t>
            </w: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1"/>
        </w:numPr>
        <w:jc w:val="left"/>
        <w:rPr>
          <w:rFonts w:ascii="仿宋" w:hAnsi="仿宋" w:eastAsia="仿宋" w:cs="仿宋"/>
          <w:bCs/>
          <w:color w:val="000000"/>
          <w:kern w:val="0"/>
          <w:sz w:val="32"/>
          <w:szCs w:val="32"/>
        </w:rPr>
      </w:pP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w:t>
      </w:r>
      <w:r>
        <w:rPr>
          <w:rFonts w:ascii="仿宋" w:hAnsi="仿宋" w:eastAsia="仿宋"/>
          <w:sz w:val="32"/>
          <w:szCs w:val="32"/>
        </w:rPr>
        <w:t>11.41</w:t>
      </w:r>
      <w:r>
        <w:rPr>
          <w:rFonts w:hint="eastAsia" w:ascii="仿宋" w:hAnsi="仿宋" w:eastAsia="仿宋"/>
          <w:sz w:val="32"/>
          <w:szCs w:val="32"/>
        </w:rPr>
        <w:t>万元，支出决算为</w:t>
      </w:r>
      <w:r>
        <w:rPr>
          <w:rFonts w:ascii="仿宋" w:hAnsi="仿宋" w:eastAsia="仿宋"/>
          <w:sz w:val="32"/>
          <w:szCs w:val="32"/>
        </w:rPr>
        <w:t>11.11</w:t>
      </w:r>
      <w:r>
        <w:rPr>
          <w:rFonts w:hint="eastAsia" w:ascii="仿宋" w:hAnsi="仿宋" w:eastAsia="仿宋"/>
          <w:sz w:val="32"/>
          <w:szCs w:val="32"/>
        </w:rPr>
        <w:t>万元，完成年初预算的</w:t>
      </w:r>
      <w:r>
        <w:rPr>
          <w:rFonts w:ascii="仿宋" w:hAnsi="仿宋" w:eastAsia="仿宋"/>
          <w:sz w:val="32"/>
          <w:szCs w:val="32"/>
        </w:rPr>
        <w:t>97.37%</w:t>
      </w:r>
      <w:r>
        <w:rPr>
          <w:rFonts w:hint="eastAsia" w:ascii="仿宋" w:hAnsi="仿宋" w:eastAsia="仿宋"/>
          <w:sz w:val="32"/>
          <w:szCs w:val="32"/>
        </w:rPr>
        <w:t>。</w:t>
      </w:r>
      <w:r>
        <w:rPr>
          <w:rFonts w:hint="eastAsia" w:ascii="仿宋" w:hAnsi="仿宋" w:eastAsia="仿宋"/>
          <w:color w:val="000000" w:themeColor="text1"/>
          <w:sz w:val="32"/>
          <w:szCs w:val="32"/>
        </w:rPr>
        <w:t>预决算存有差异原因是：</w:t>
      </w:r>
      <w:r>
        <w:rPr>
          <w:rFonts w:hint="eastAsia" w:ascii="仿宋" w:hAnsi="仿宋" w:eastAsia="仿宋" w:cs="仿宋"/>
          <w:bCs/>
          <w:color w:val="000000"/>
          <w:kern w:val="0"/>
          <w:sz w:val="32"/>
          <w:szCs w:val="32"/>
        </w:rPr>
        <w:t>年内有人员变动，社保基数未变动。主要用于本部门及所属事业单位按规定的比例计缴的住房公积金。</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11.41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11.11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97.37%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sz w:val="20"/>
                <w:szCs w:val="20"/>
              </w:rPr>
              <w:t>本部门及所属事业单位按规定的比例计缴的住房公积金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sz w:val="20"/>
                <w:szCs w:val="20"/>
              </w:rPr>
              <w:t>年内有人员变动，社保基数未变动</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11.41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11.11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sz w:val="20"/>
                <w:szCs w:val="20"/>
              </w:rPr>
              <w:t>本部门及所属事业单位按规定的比例计缴的住房公积金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r>
              <w:rPr>
                <w:rFonts w:hint="eastAsia" w:ascii="宋体" w:hAnsi="宋体" w:eastAsia="宋体" w:cs="宋体"/>
                <w:color w:val="000000"/>
                <w:sz w:val="20"/>
                <w:szCs w:val="20"/>
              </w:rPr>
              <w:t>年内有人员变动，社保基数未变动</w:t>
            </w: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1"/>
        </w:numPr>
        <w:jc w:val="left"/>
        <w:rPr>
          <w:rFonts w:ascii="仿宋" w:hAnsi="仿宋" w:eastAsia="仿宋"/>
          <w:color w:val="000000" w:themeColor="text1"/>
          <w:sz w:val="32"/>
          <w:szCs w:val="32"/>
        </w:rPr>
      </w:pPr>
      <w:r>
        <w:rPr>
          <w:rFonts w:hint="eastAsia" w:ascii="仿宋" w:hAnsi="仿宋" w:eastAsia="仿宋"/>
          <w:sz w:val="32"/>
          <w:szCs w:val="32"/>
        </w:rPr>
        <w:t>其他支出</w:t>
      </w:r>
      <w:r>
        <w:rPr>
          <w:rFonts w:ascii="仿宋" w:hAnsi="仿宋" w:eastAsia="仿宋"/>
          <w:sz w:val="32"/>
        </w:rPr>
        <w:t>（229</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万元，支出决算为</w:t>
      </w:r>
      <w:r>
        <w:rPr>
          <w:rFonts w:ascii="仿宋" w:hAnsi="仿宋" w:eastAsia="仿宋"/>
          <w:sz w:val="32"/>
          <w:szCs w:val="32"/>
        </w:rPr>
        <w:t>29.94</w:t>
      </w:r>
      <w:r>
        <w:rPr>
          <w:rFonts w:hint="eastAsia" w:ascii="仿宋" w:hAnsi="仿宋" w:eastAsia="仿宋"/>
          <w:sz w:val="32"/>
          <w:szCs w:val="32"/>
        </w:rPr>
        <w:t>万元，完成年初预算的</w:t>
      </w:r>
      <w:r>
        <w:rPr>
          <w:rFonts w:ascii="仿宋" w:hAnsi="仿宋" w:eastAsia="仿宋"/>
          <w:sz w:val="32"/>
          <w:szCs w:val="32"/>
        </w:rPr>
        <w:t>100.00%</w:t>
      </w:r>
      <w:r>
        <w:rPr>
          <w:rFonts w:hint="eastAsia" w:ascii="仿宋" w:hAnsi="仿宋" w:eastAsia="仿宋"/>
          <w:sz w:val="32"/>
          <w:szCs w:val="32"/>
        </w:rPr>
        <w:t>。</w:t>
      </w:r>
      <w:r>
        <w:rPr>
          <w:rFonts w:hint="eastAsia" w:ascii="仿宋" w:hAnsi="仿宋" w:eastAsia="仿宋"/>
          <w:color w:val="000000" w:themeColor="text1"/>
          <w:sz w:val="32"/>
          <w:szCs w:val="32"/>
        </w:rPr>
        <w:t>预决算存有差异原因是：预决算存有差异原因是：绩效考评奖的支出年初未列入预算，主要用于绩效考评奖的支出。</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29.94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绩效考评奖的支出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年初未列入预算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29.94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绩效考评奖的支出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年初未列入预算</w:t>
            </w: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sz w:val="32"/>
          <w:szCs w:val="32"/>
        </w:rPr>
      </w:pPr>
      <w:r>
        <w:rPr>
          <w:rFonts w:hint="eastAsia" w:ascii="黑体" w:hAnsi="黑体" w:eastAsia="黑体" w:cs="黑体"/>
          <w:sz w:val="32"/>
          <w:szCs w:val="32"/>
        </w:rPr>
        <w:t>三、2022年度一般公共预算财政拨款基本支出决算情况说明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中国共产党环江毛南族自治县委员会统一战线工作部2022年度一般公共预算财政拨款基本支出</w:t>
      </w:r>
      <w:r>
        <w:rPr>
          <w:rFonts w:ascii="仿宋" w:hAnsi="仿宋" w:eastAsia="仿宋" w:cs="仿宋"/>
          <w:sz w:val="32"/>
          <w:szCs w:val="32"/>
        </w:rPr>
        <w:t>165.14</w:t>
      </w:r>
      <w:r>
        <w:rPr>
          <w:rFonts w:hint="eastAsia" w:ascii="仿宋" w:hAnsi="仿宋" w:eastAsia="仿宋" w:cs="仿宋"/>
          <w:sz w:val="32"/>
          <w:szCs w:val="32"/>
        </w:rPr>
        <w:t>万元，</w:t>
      </w:r>
      <w:r>
        <w:rPr>
          <w:rFonts w:ascii="仿宋" w:hAnsi="仿宋" w:eastAsia="仿宋" w:cs="仿宋"/>
          <w:sz w:val="32"/>
          <w:szCs w:val="32"/>
        </w:rPr>
        <w:t>其中：人员经费支出</w:t>
      </w:r>
      <w:r>
        <w:rPr>
          <w:rFonts w:hint="eastAsia" w:ascii="仿宋" w:hAnsi="仿宋" w:eastAsia="仿宋" w:cs="仿宋"/>
          <w:sz w:val="32"/>
          <w:szCs w:val="32"/>
        </w:rPr>
        <w:t>151.18</w:t>
      </w:r>
      <w:r>
        <w:rPr>
          <w:rFonts w:ascii="仿宋" w:hAnsi="仿宋" w:eastAsia="仿宋" w:cs="仿宋"/>
          <w:sz w:val="32"/>
          <w:szCs w:val="32"/>
        </w:rPr>
        <w:t>万元，公用经费支出</w:t>
      </w:r>
      <w:r>
        <w:rPr>
          <w:rFonts w:hint="eastAsia" w:ascii="仿宋" w:hAnsi="仿宋" w:eastAsia="仿宋" w:cs="仿宋"/>
          <w:sz w:val="32"/>
          <w:szCs w:val="32"/>
        </w:rPr>
        <w:t>13.96</w:t>
      </w:r>
      <w:r>
        <w:rPr>
          <w:rFonts w:ascii="仿宋" w:hAnsi="仿宋" w:eastAsia="仿宋" w:cs="仿宋"/>
          <w:sz w:val="32"/>
          <w:szCs w:val="32"/>
        </w:rPr>
        <w:t>万元，</w:t>
      </w:r>
      <w:r>
        <w:rPr>
          <w:rFonts w:hint="eastAsia" w:ascii="仿宋" w:hAnsi="仿宋" w:eastAsia="仿宋" w:cs="仿宋"/>
          <w:sz w:val="32"/>
          <w:szCs w:val="32"/>
        </w:rPr>
        <w:t>支出具体情况如下：</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工资福利支出</w:t>
      </w:r>
      <w:r>
        <w:rPr>
          <w:rFonts w:ascii="仿宋" w:hAnsi="仿宋" w:eastAsia="仿宋" w:cs="仿宋"/>
          <w:sz w:val="32"/>
          <w:szCs w:val="32"/>
        </w:rPr>
        <w:t>139.62万元，完成年初预算的</w:t>
      </w:r>
      <w:r>
        <w:rPr>
          <w:rFonts w:hint="eastAsia" w:ascii="仿宋" w:hAnsi="仿宋" w:eastAsia="仿宋" w:cs="仿宋"/>
          <w:sz w:val="32"/>
          <w:szCs w:val="32"/>
        </w:rPr>
        <w:t>117.17%</w:t>
      </w:r>
      <w:r>
        <w:rPr>
          <w:rFonts w:ascii="仿宋" w:hAnsi="仿宋" w:eastAsia="仿宋" w:cs="仿宋"/>
          <w:sz w:val="32"/>
          <w:szCs w:val="32"/>
        </w:rPr>
        <w:t>，</w:t>
      </w:r>
      <w:r>
        <w:rPr>
          <w:rFonts w:hint="eastAsia" w:ascii="仿宋" w:hAnsi="仿宋" w:eastAsia="仿宋" w:cs="仿宋"/>
          <w:sz w:val="32"/>
          <w:szCs w:val="32"/>
        </w:rPr>
        <w:t>主要原因是：机关事业单位基本养老保险缴费</w:t>
      </w:r>
      <w:r>
        <w:rPr>
          <w:rFonts w:hint="eastAsia" w:ascii="仿宋" w:hAnsi="仿宋" w:eastAsia="仿宋" w:cs="仿宋"/>
          <w:color w:val="000000" w:themeColor="text1"/>
          <w:sz w:val="32"/>
          <w:szCs w:val="32"/>
        </w:rPr>
        <w:t>增加及年度绩效考评奖年初未预算。</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30101基本工资35.90万元，30102津贴补贴23.01万元，30103奖金44.61万元，30108机关事业单位基本养老保险缴费15.17万元，30110职工基本医疗保险缴费6.45万元，30112其他社会保障缴费0.21万元，30113住房公积金11.36万元，30199其他工资福利支出2.90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numPr>
          <w:numId w:val="0"/>
        </w:numPr>
        <w:jc w:val="left"/>
        <w:rPr>
          <w:rFonts w:ascii="仿宋" w:hAnsi="仿宋" w:eastAsia="仿宋" w:cs="仿宋"/>
          <w:color w:val="FF0000"/>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商品和服务支出</w:t>
      </w:r>
      <w:r>
        <w:rPr>
          <w:rFonts w:ascii="仿宋" w:hAnsi="仿宋" w:eastAsia="仿宋" w:cs="仿宋"/>
          <w:sz w:val="32"/>
        </w:rPr>
        <w:t>13.96万元，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97.62%</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rPr>
        <w:t>主要原因是：节省经费开支。</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：30201办公费1.00万元，30207邮电费1.05万元，30211差旅费1.66万元，30228工会经费1.86万元，30239其他交通费用8.40万元。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numPr>
          <w:numId w:val="0"/>
        </w:numPr>
        <w:jc w:val="left"/>
        <w:rPr>
          <w:rFonts w:ascii="仿宋" w:hAnsi="仿宋" w:eastAsia="仿宋" w:cs="仿宋"/>
          <w:color w:val="FF0000"/>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对个人和家庭的补助</w:t>
      </w:r>
      <w:r>
        <w:rPr>
          <w:rFonts w:ascii="仿宋" w:hAnsi="仿宋" w:eastAsia="仿宋" w:cs="仿宋"/>
          <w:sz w:val="32"/>
        </w:rPr>
        <w:t>11.56万元，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135.36%</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rPr>
        <w:t>主要原因是：年初未预算抚恤金。</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：30304抚恤金1.08万元，30305生活补助8.47万元，30399其他对个人和家庭的补助2.00万元。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rPr>
          <w:rFonts w:ascii="仿宋" w:hAnsi="仿宋" w:eastAsia="仿宋" w:cs="仿宋"/>
          <w:sz w:val="32"/>
          <w:szCs w:val="32"/>
        </w:rPr>
      </w:pPr>
    </w:p>
    <w:p>
      <w:pPr>
        <w:numPr>
          <w:numId w:val="0"/>
        </w:numPr>
        <w:jc w:val="left"/>
        <w:rPr>
          <w:rFonts w:ascii="仿宋" w:hAnsi="仿宋" w:eastAsia="仿宋" w:cs="仿宋"/>
          <w:color w:val="FF0000"/>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rPr>
        <w:t>主要原因是：我单位无此项支出。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940050"/>
            <wp:effectExtent l="4445" t="4445" r="16510" b="8255"/>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numPr>
          <w:numId w:val="0"/>
        </w:numPr>
        <w:jc w:val="left"/>
        <w:rPr>
          <w:rFonts w:ascii="仿宋" w:hAnsi="仿宋" w:eastAsia="仿宋" w:cs="仿宋"/>
          <w:color w:val="FF0000"/>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资本性支出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rPr>
        <w:t>主要原因是：我单位无此项支出。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numPr>
          <w:numId w:val="0"/>
        </w:numPr>
        <w:jc w:val="left"/>
        <w:rPr>
          <w:rFonts w:ascii="仿宋" w:hAnsi="仿宋" w:eastAsia="仿宋" w:cs="仿宋"/>
          <w:color w:val="FF0000"/>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rPr>
        <w:t>主要原因是：我单位无此项支出。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四、2022年度政府性基金支出决算情况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中国共产党环江毛南族自治县委员会统一战线工作部2022年度政府性基金支出</w:t>
      </w:r>
      <w:r>
        <w:rPr>
          <w:rFonts w:ascii="仿宋" w:hAnsi="仿宋" w:eastAsia="仿宋" w:cs="仿宋"/>
          <w:sz w:val="32"/>
          <w:szCs w:val="32"/>
        </w:rPr>
        <w:t>0.00</w:t>
      </w:r>
      <w:r>
        <w:rPr>
          <w:rFonts w:hint="eastAsia" w:ascii="仿宋" w:hAnsi="仿宋" w:eastAsia="仿宋" w:cs="仿宋"/>
          <w:sz w:val="32"/>
          <w:szCs w:val="32"/>
        </w:rPr>
        <w:t>万元，较2021年度决算数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中国共产党环江毛南族自治县委员会统一战线工作部2022年度政府性基金支出年初预算为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中国共产党环江毛南族自治县委员会统一战线工作部</w:t>
      </w:r>
      <w:r>
        <w:rPr>
          <w:rFonts w:ascii="仿宋" w:hAnsi="仿宋" w:eastAsia="仿宋" w:cs="仿宋"/>
          <w:sz w:val="32"/>
          <w:szCs w:val="32"/>
        </w:rPr>
        <w:t>没有政府性基金收入，也没有政府性基金收入安排的支出</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五、2022年度国有资本经营预算支出决算情况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中国共产党环江毛南族自治县委员会统一战线工作部2022年度国有资本经营预算支出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中国共产党环江毛南族自治县委员会统一战线工作部2022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bookmarkStart w:id="4" w:name="PO_part3A5B1C1DiffReason1"/>
      <w:r>
        <w:rPr>
          <w:rFonts w:hint="eastAsia" w:ascii="仿宋" w:hAnsi="仿宋" w:eastAsia="仿宋" w:cs="仿宋"/>
          <w:sz w:val="32"/>
          <w:szCs w:val="32"/>
        </w:rPr>
        <w:t>中国共产党环江毛南族自治县委员会统一战线工作部</w:t>
      </w:r>
      <w:r>
        <w:rPr>
          <w:rFonts w:ascii="仿宋" w:hAnsi="仿宋" w:eastAsia="仿宋" w:cs="仿宋"/>
          <w:sz w:val="32"/>
          <w:szCs w:val="32"/>
        </w:rPr>
        <w:t>没有国有资本经营预算收入，也没有国有资本经营预算收入</w:t>
      </w:r>
      <w:r>
        <w:rPr>
          <w:rFonts w:hint="eastAsia" w:ascii="仿宋" w:hAnsi="仿宋" w:eastAsia="仿宋" w:cs="仿宋"/>
          <w:sz w:val="32"/>
          <w:szCs w:val="32"/>
        </w:rPr>
        <w:t>安排的支出。</w:t>
      </w:r>
      <w:bookmarkEnd w:id="4"/>
    </w:p>
    <w:p>
      <w:pPr>
        <w:jc w:val="left"/>
        <w:rPr>
          <w:rFonts w:ascii="仿宋" w:hAnsi="仿宋" w:eastAsia="仿宋" w:cs="仿宋"/>
          <w:sz w:val="32"/>
          <w:szCs w:val="32"/>
        </w:rPr>
      </w:pPr>
      <w:r>
        <w:rPr>
          <w:rFonts w:hint="eastAsia" w:ascii="黑体" w:hAnsi="黑体" w:eastAsia="黑体" w:cs="黑体"/>
          <w:sz w:val="32"/>
          <w:szCs w:val="32"/>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2022年预算财政拨款安排的“三公”经费支出</w:t>
      </w:r>
      <w:r>
        <w:rPr>
          <w:rFonts w:ascii="仿宋" w:hAnsi="仿宋" w:eastAsia="仿宋" w:cs="仿宋"/>
          <w:sz w:val="32"/>
          <w:szCs w:val="32"/>
        </w:rPr>
        <w:t>3.02</w:t>
      </w:r>
      <w:r>
        <w:rPr>
          <w:rFonts w:hint="eastAsia" w:ascii="仿宋" w:hAnsi="仿宋" w:eastAsia="仿宋" w:cs="仿宋"/>
          <w:sz w:val="32"/>
          <w:szCs w:val="32"/>
        </w:rPr>
        <w:t>万元，完成年初预算的</w:t>
      </w:r>
      <w:r>
        <w:rPr>
          <w:rFonts w:ascii="仿宋" w:hAnsi="仿宋" w:eastAsia="仿宋" w:cs="仿宋"/>
          <w:sz w:val="32"/>
          <w:szCs w:val="32"/>
        </w:rPr>
        <w:t>151%</w:t>
      </w:r>
      <w:r>
        <w:rPr>
          <w:rFonts w:hint="eastAsia" w:ascii="仿宋" w:hAnsi="仿宋" w:eastAsia="仿宋" w:cs="仿宋"/>
          <w:sz w:val="32"/>
          <w:szCs w:val="32"/>
        </w:rPr>
        <w:t>，比上年</w:t>
      </w:r>
      <w:r>
        <w:rPr>
          <w:rFonts w:ascii="仿宋" w:hAnsi="仿宋" w:eastAsia="仿宋" w:cs="仿宋"/>
          <w:sz w:val="32"/>
          <w:szCs w:val="32"/>
        </w:rPr>
        <w:t>增加1.44</w:t>
      </w:r>
      <w:r>
        <w:rPr>
          <w:rFonts w:hint="eastAsia" w:ascii="仿宋" w:hAnsi="仿宋" w:eastAsia="仿宋" w:cs="仿宋"/>
          <w:sz w:val="32"/>
          <w:szCs w:val="32"/>
        </w:rPr>
        <w:t>万元，</w:t>
      </w:r>
      <w:r>
        <w:rPr>
          <w:rFonts w:hint="eastAsia" w:ascii="仿宋" w:hAnsi="仿宋" w:eastAsia="仿宋" w:cs="仿宋"/>
          <w:color w:val="000000" w:themeColor="text1"/>
          <w:sz w:val="32"/>
          <w:szCs w:val="32"/>
        </w:rPr>
        <w:t>主要原因是</w:t>
      </w:r>
      <w:r>
        <w:rPr>
          <w:rFonts w:hint="eastAsia" w:ascii="仿宋" w:hAnsi="仿宋" w:eastAsia="仿宋" w:cs="仿宋"/>
          <w:sz w:val="32"/>
          <w:szCs w:val="32"/>
        </w:rPr>
        <w:t>：其他县份单位到我县参观民族团结创建活动次数增加。其中：因公</w:t>
      </w:r>
      <w:r>
        <w:rPr>
          <w:rFonts w:hint="eastAsia" w:ascii="仿宋" w:hAnsi="仿宋" w:eastAsia="仿宋" w:cs="仿宋"/>
          <w:color w:val="000000" w:themeColor="text1"/>
          <w:sz w:val="32"/>
          <w:szCs w:val="32"/>
        </w:rPr>
        <w:t>出国（境）费支出决算</w:t>
      </w:r>
      <w:r>
        <w:rPr>
          <w:rFonts w:ascii="仿宋" w:hAnsi="仿宋" w:eastAsia="仿宋" w:cs="仿宋"/>
          <w:color w:val="000000" w:themeColor="text1"/>
          <w:sz w:val="32"/>
          <w:szCs w:val="32"/>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3.02</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（一）因公出国（境）费支出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 xml:space="preserve"> 万元。原因是：年内我单位未安排此项工作。全年使用财政拨款安排  0 （局、办、镇）机关、  个所属单位出国团组 0个，参加其他单位组织的出国团组0  个，全年因公出国（境）团组共计</w:t>
      </w:r>
      <w:r>
        <w:rPr>
          <w:rFonts w:ascii="仿宋" w:hAnsi="仿宋" w:eastAsia="仿宋" w:cs="仿宋"/>
          <w:sz w:val="32"/>
          <w:szCs w:val="32"/>
        </w:rPr>
        <w:t>0</w:t>
      </w:r>
      <w:r>
        <w:rPr>
          <w:rFonts w:hint="eastAsia" w:ascii="仿宋" w:hAnsi="仿宋" w:eastAsia="仿宋" w:cs="仿宋"/>
          <w:sz w:val="32"/>
          <w:szCs w:val="32"/>
        </w:rPr>
        <w:t>个，累计</w:t>
      </w:r>
      <w:r>
        <w:rPr>
          <w:rFonts w:ascii="仿宋" w:hAnsi="仿宋" w:eastAsia="仿宋" w:cs="仿宋"/>
          <w:sz w:val="32"/>
          <w:szCs w:val="32"/>
        </w:rPr>
        <w:t>0</w:t>
      </w:r>
      <w:r>
        <w:rPr>
          <w:rFonts w:hint="eastAsia" w:ascii="仿宋" w:hAnsi="仿宋" w:eastAsia="仿宋" w:cs="仿宋"/>
          <w:sz w:val="32"/>
          <w:szCs w:val="32"/>
        </w:rPr>
        <w:t>人次。开支内容包括：因公出国（境）费用。</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（二）公务用车购置及运行维护费</w:t>
      </w:r>
      <w:r>
        <w:rPr>
          <w:rFonts w:ascii="仿宋" w:hAnsi="仿宋" w:eastAsia="仿宋" w:cs="仿宋"/>
          <w:sz w:val="32"/>
        </w:rPr>
        <w:t>0.00</w:t>
      </w:r>
      <w:r>
        <w:rPr>
          <w:rFonts w:hint="eastAsia" w:ascii="仿宋" w:hAnsi="仿宋" w:eastAsia="仿宋" w:cs="仿宋"/>
          <w:sz w:val="32"/>
          <w:szCs w:val="32"/>
        </w:rPr>
        <w:t>万元。其中：公务用车购置支出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 xml:space="preserve"> 万元。主要原因是</w:t>
      </w:r>
      <w:bookmarkStart w:id="5" w:name="PO_part3A6B2IncReason1"/>
      <w:r>
        <w:rPr>
          <w:rFonts w:hint="eastAsia" w:ascii="仿宋" w:hAnsi="仿宋" w:eastAsia="仿宋" w:cs="仿宋"/>
          <w:sz w:val="32"/>
          <w:szCs w:val="32"/>
        </w:rPr>
        <w:t>本部门无公务用车购置</w:t>
      </w:r>
      <w:bookmarkEnd w:id="5"/>
      <w:r>
        <w:rPr>
          <w:rFonts w:hint="eastAsia" w:ascii="仿宋" w:hAnsi="仿宋" w:eastAsia="仿宋" w:cs="仿宋"/>
          <w:sz w:val="32"/>
          <w:szCs w:val="32"/>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公务用车运行维护支出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rPr>
        <w:t>主要原因是：</w:t>
      </w:r>
      <w:r>
        <w:rPr>
          <w:rFonts w:hint="eastAsia" w:ascii="仿宋" w:hAnsi="仿宋" w:eastAsia="仿宋" w:cs="仿宋"/>
          <w:sz w:val="32"/>
          <w:szCs w:val="32"/>
        </w:rPr>
        <w:t>本部门无公务用车。2022年，</w:t>
      </w:r>
      <w:r>
        <w:rPr>
          <w:rFonts w:ascii="仿宋" w:hAnsi="仿宋" w:eastAsia="仿宋" w:cs="仿宋"/>
          <w:sz w:val="32"/>
        </w:rPr>
        <w:t>广西河池市中国共产党环江毛南族自治县委员会统一战线工</w:t>
      </w:r>
      <w:r>
        <w:rPr>
          <w:rFonts w:ascii="仿宋" w:hAnsi="仿宋" w:eastAsia="仿宋" w:cs="仿宋"/>
          <w:sz w:val="32"/>
          <w:szCs w:val="32"/>
        </w:rPr>
        <w:t>作部</w:t>
      </w:r>
      <w:r>
        <w:rPr>
          <w:rFonts w:hint="eastAsia" w:ascii="仿宋" w:hAnsi="仿宋" w:eastAsia="仿宋" w:cs="仿宋"/>
          <w:sz w:val="32"/>
          <w:szCs w:val="32"/>
        </w:rPr>
        <w:t>及  0个所属单位开支财政拨款的公务用车保有量为</w:t>
      </w:r>
      <w:r>
        <w:rPr>
          <w:rFonts w:ascii="仿宋" w:hAnsi="仿宋" w:eastAsia="仿宋" w:cs="仿宋"/>
          <w:sz w:val="32"/>
        </w:rPr>
        <w:t>0</w:t>
      </w:r>
      <w:r>
        <w:rPr>
          <w:rFonts w:hint="eastAsia" w:ascii="仿宋" w:hAnsi="仿宋" w:eastAsia="仿宋" w:cs="仿宋"/>
          <w:sz w:val="32"/>
          <w:szCs w:val="32"/>
        </w:rPr>
        <w:t>辆，全年运行费支出</w:t>
      </w:r>
      <w:r>
        <w:rPr>
          <w:rFonts w:ascii="仿宋" w:hAnsi="仿宋" w:eastAsia="仿宋" w:cs="仿宋"/>
          <w:sz w:val="32"/>
        </w:rPr>
        <w:t>0.00</w:t>
      </w:r>
      <w:r>
        <w:rPr>
          <w:rFonts w:hint="eastAsia" w:ascii="仿宋" w:hAnsi="仿宋" w:eastAsia="仿宋" w:cs="仿宋"/>
          <w:sz w:val="32"/>
          <w:szCs w:val="32"/>
        </w:rPr>
        <w:t>万元，平均每辆0万元。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（三）公务接待费支出</w:t>
      </w:r>
      <w:r>
        <w:rPr>
          <w:rFonts w:ascii="仿宋" w:hAnsi="仿宋" w:eastAsia="仿宋" w:cs="仿宋"/>
          <w:sz w:val="32"/>
          <w:szCs w:val="32"/>
        </w:rPr>
        <w:t>3.02</w:t>
      </w:r>
      <w:r>
        <w:rPr>
          <w:rFonts w:hint="eastAsia" w:ascii="仿宋" w:hAnsi="仿宋" w:eastAsia="仿宋" w:cs="仿宋"/>
          <w:sz w:val="32"/>
          <w:szCs w:val="32"/>
        </w:rPr>
        <w:t>万元，完成年初预算的</w:t>
      </w:r>
      <w:r>
        <w:rPr>
          <w:rFonts w:ascii="仿宋" w:hAnsi="仿宋" w:eastAsia="仿宋" w:cs="仿宋"/>
          <w:sz w:val="32"/>
          <w:szCs w:val="32"/>
        </w:rPr>
        <w:t>201.33%</w:t>
      </w:r>
      <w:r>
        <w:rPr>
          <w:rFonts w:hint="eastAsia" w:ascii="仿宋" w:hAnsi="仿宋" w:eastAsia="仿宋" w:cs="仿宋"/>
          <w:sz w:val="32"/>
          <w:szCs w:val="32"/>
        </w:rPr>
        <w:t>， 比上年</w:t>
      </w:r>
      <w:r>
        <w:rPr>
          <w:rFonts w:ascii="仿宋" w:hAnsi="仿宋" w:eastAsia="仿宋" w:cs="仿宋"/>
          <w:sz w:val="32"/>
          <w:szCs w:val="32"/>
        </w:rPr>
        <w:t>增加1.44</w:t>
      </w:r>
      <w:r>
        <w:rPr>
          <w:rFonts w:hint="eastAsia" w:ascii="仿宋" w:hAnsi="仿宋" w:eastAsia="仿宋" w:cs="仿宋"/>
          <w:sz w:val="32"/>
          <w:szCs w:val="32"/>
        </w:rPr>
        <w:t>万元，主要原因是：其他县份单位到我县参观民族团结创建活动次数增加。国</w:t>
      </w:r>
      <w:r>
        <w:rPr>
          <w:rFonts w:hint="eastAsia" w:ascii="仿宋" w:hAnsi="仿宋" w:eastAsia="仿宋" w:cs="仿宋"/>
          <w:color w:val="000000" w:themeColor="text1"/>
          <w:sz w:val="32"/>
          <w:szCs w:val="32"/>
        </w:rPr>
        <w:t>内公务接待批次</w:t>
      </w:r>
      <w:r>
        <w:rPr>
          <w:rFonts w:ascii="仿宋" w:hAnsi="仿宋" w:eastAsia="仿宋" w:cs="仿宋"/>
          <w:color w:val="000000" w:themeColor="text1"/>
          <w:sz w:val="32"/>
          <w:szCs w:val="32"/>
        </w:rPr>
        <w:t>20</w:t>
      </w:r>
      <w:r>
        <w:rPr>
          <w:rFonts w:hint="eastAsia" w:ascii="仿宋" w:hAnsi="仿宋" w:eastAsia="仿宋" w:cs="仿宋"/>
          <w:sz w:val="32"/>
          <w:szCs w:val="32"/>
        </w:rPr>
        <w:t>次，人次</w:t>
      </w:r>
      <w:r>
        <w:rPr>
          <w:rFonts w:ascii="仿宋" w:hAnsi="仿宋" w:eastAsia="仿宋" w:cs="仿宋"/>
          <w:sz w:val="32"/>
          <w:szCs w:val="32"/>
        </w:rPr>
        <w:t>233</w:t>
      </w:r>
      <w:r>
        <w:rPr>
          <w:rFonts w:hint="eastAsia" w:ascii="仿宋" w:hAnsi="仿宋" w:eastAsia="仿宋" w:cs="仿宋"/>
          <w:sz w:val="32"/>
          <w:szCs w:val="32"/>
        </w:rPr>
        <w:t>次，国（境）外公务接待批次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w:t>
      </w:r>
    </w:p>
    <w:p>
      <w:pPr>
        <w:jc w:val="left"/>
        <w:rPr>
          <w:rFonts w:ascii="仿宋" w:hAnsi="仿宋" w:eastAsia="仿宋" w:cs="仿宋"/>
          <w:sz w:val="32"/>
          <w:szCs w:val="32"/>
        </w:rPr>
      </w:pPr>
      <w:r>
        <w:rPr>
          <w:rFonts w:hint="eastAsia" w:ascii="黑体" w:hAnsi="黑体" w:eastAsia="黑体" w:cs="黑体"/>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（一） 机关运行经费支出情况说明</w:t>
      </w:r>
    </w:p>
    <w:p>
      <w:pPr>
        <w:ind w:firstLine="640" w:firstLineChars="200"/>
        <w:jc w:val="left"/>
        <w:rPr>
          <w:rFonts w:ascii="仿宋" w:hAnsi="仿宋" w:eastAsia="仿宋" w:cs="仿宋"/>
          <w:sz w:val="32"/>
          <w:szCs w:val="32"/>
        </w:rPr>
      </w:pPr>
      <w:bookmarkStart w:id="6" w:name="_GoBack"/>
      <w:bookmarkEnd w:id="6"/>
      <w:r>
        <w:rPr>
          <w:rFonts w:hint="eastAsia" w:ascii="仿宋" w:hAnsi="仿宋" w:eastAsia="仿宋" w:cs="仿宋"/>
          <w:sz w:val="32"/>
          <w:szCs w:val="32"/>
        </w:rPr>
        <w:t>本部门2022年度机关运行经费支出</w:t>
      </w:r>
      <w:r>
        <w:rPr>
          <w:rFonts w:ascii="仿宋" w:hAnsi="仿宋" w:eastAsia="仿宋" w:cs="仿宋"/>
          <w:sz w:val="32"/>
          <w:szCs w:val="32"/>
        </w:rPr>
        <w:t>13.96</w:t>
      </w:r>
      <w:r>
        <w:rPr>
          <w:rFonts w:hint="eastAsia" w:ascii="仿宋" w:hAnsi="仿宋" w:eastAsia="仿宋" w:cs="仿宋"/>
          <w:sz w:val="32"/>
          <w:szCs w:val="32"/>
        </w:rPr>
        <w:t>万元，比年初预算数</w:t>
      </w:r>
      <w:r>
        <w:rPr>
          <w:rFonts w:ascii="仿宋" w:hAnsi="仿宋" w:eastAsia="仿宋" w:cs="仿宋"/>
          <w:sz w:val="32"/>
          <w:szCs w:val="32"/>
        </w:rPr>
        <w:t>减少0.34</w:t>
      </w:r>
      <w:r>
        <w:rPr>
          <w:rFonts w:hint="eastAsia" w:ascii="仿宋" w:hAnsi="仿宋" w:eastAsia="仿宋" w:cs="仿宋"/>
          <w:sz w:val="32"/>
          <w:szCs w:val="32"/>
        </w:rPr>
        <w:t>万元，</w:t>
      </w:r>
      <w:r>
        <w:rPr>
          <w:rFonts w:ascii="仿宋" w:hAnsi="仿宋" w:eastAsia="仿宋" w:cs="仿宋"/>
          <w:sz w:val="32"/>
          <w:szCs w:val="32"/>
        </w:rPr>
        <w:t>下降2.38%</w:t>
      </w:r>
      <w:r>
        <w:rPr>
          <w:rFonts w:hint="eastAsia" w:ascii="仿宋" w:hAnsi="仿宋" w:eastAsia="仿宋" w:cs="仿宋"/>
          <w:sz w:val="32"/>
          <w:szCs w:val="32"/>
        </w:rPr>
        <w:t>，比上年决算数</w:t>
      </w:r>
      <w:r>
        <w:rPr>
          <w:rFonts w:ascii="仿宋" w:hAnsi="仿宋" w:eastAsia="仿宋" w:cs="仿宋"/>
          <w:sz w:val="32"/>
          <w:szCs w:val="32"/>
        </w:rPr>
        <w:t>增加5.02</w:t>
      </w:r>
      <w:r>
        <w:rPr>
          <w:rFonts w:hint="eastAsia" w:ascii="仿宋" w:hAnsi="仿宋" w:eastAsia="仿宋" w:cs="仿宋"/>
          <w:sz w:val="32"/>
          <w:szCs w:val="32"/>
        </w:rPr>
        <w:t>万元，</w:t>
      </w:r>
      <w:r>
        <w:rPr>
          <w:rFonts w:ascii="仿宋" w:hAnsi="仿宋" w:eastAsia="仿宋" w:cs="仿宋"/>
          <w:sz w:val="32"/>
          <w:szCs w:val="32"/>
        </w:rPr>
        <w:t>增长56.15%</w:t>
      </w:r>
      <w:r>
        <w:rPr>
          <w:rFonts w:hint="eastAsia" w:ascii="仿宋" w:hAnsi="仿宋" w:eastAsia="仿宋" w:cs="仿宋"/>
          <w:sz w:val="32"/>
          <w:szCs w:val="32"/>
        </w:rPr>
        <w:t>。原因是：年内有人员调动。主要原因是：年内有人员调动。</w:t>
      </w:r>
    </w:p>
    <w:p>
      <w:pPr>
        <w:jc w:val="left"/>
        <w:rPr>
          <w:rFonts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本部门2022年度政府采购支出总额</w:t>
      </w:r>
      <w:r>
        <w:rPr>
          <w:rFonts w:ascii="仿宋" w:hAnsi="仿宋" w:eastAsia="仿宋" w:cs="仿宋"/>
          <w:sz w:val="32"/>
          <w:szCs w:val="32"/>
        </w:rPr>
        <w:t>0.00</w:t>
      </w:r>
      <w:r>
        <w:rPr>
          <w:rFonts w:hint="eastAsia" w:ascii="仿宋" w:hAnsi="仿宋" w:eastAsia="仿宋" w:cs="仿宋"/>
          <w:sz w:val="32"/>
          <w:szCs w:val="32"/>
        </w:rPr>
        <w:t>万元，其中：政府采购货物支出</w:t>
      </w:r>
      <w:r>
        <w:rPr>
          <w:rFonts w:ascii="仿宋" w:hAnsi="仿宋" w:eastAsia="仿宋" w:cs="仿宋"/>
          <w:sz w:val="32"/>
          <w:szCs w:val="32"/>
        </w:rPr>
        <w:t>0.00</w:t>
      </w:r>
      <w:r>
        <w:rPr>
          <w:rFonts w:hint="eastAsia" w:ascii="仿宋" w:hAnsi="仿宋" w:eastAsia="仿宋" w:cs="仿宋"/>
          <w:sz w:val="32"/>
          <w:szCs w:val="32"/>
        </w:rPr>
        <w:t>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ascii="仿宋" w:hAnsi="仿宋" w:eastAsia="仿宋" w:cs="仿宋"/>
          <w:sz w:val="32"/>
          <w:szCs w:val="32"/>
        </w:rPr>
        <w:t>0.00</w:t>
      </w:r>
      <w:r>
        <w:rPr>
          <w:rFonts w:hint="eastAsia" w:ascii="仿宋" w:hAnsi="仿宋" w:eastAsia="仿宋" w:cs="仿宋"/>
          <w:sz w:val="32"/>
          <w:szCs w:val="32"/>
        </w:rPr>
        <w:t>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截至2022年12月31日，本部门共有车辆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台（套）；单位价值100万元以上专用设备台（套）。</w:t>
      </w:r>
    </w:p>
    <w:p>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1.绩效管理工作开展情况。</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根据财政预算管理要求，本部门组织对2022年度一般公共预算项目支出全面开展绩效自评。其中，一等项目13个，二等项目2个，三等项目1个，共涉及资金33.1301万元，占一般公共预算项目支出总额的77.78%。组织对2022年度0等0个政府性基金预算项目支出开展绩效自评，共涉及资金0万元，占政府性基金预算项目支出总额的0%。组织对2022年度0等0个国有资本经营预算项目支出开展绩效自评，共涉及资金0万元，占国有资本经营预算项目支出总额的0%</w:t>
      </w:r>
    </w:p>
    <w:p>
      <w:pPr>
        <w:ind w:firstLine="640" w:firstLineChars="200"/>
        <w:jc w:val="left"/>
        <w:rPr>
          <w:rFonts w:ascii="仿宋" w:hAnsi="仿宋" w:eastAsia="仿宋" w:cs="仿宋"/>
          <w:color w:val="FF0000"/>
          <w:sz w:val="32"/>
          <w:szCs w:val="32"/>
        </w:rPr>
      </w:pPr>
      <w:r>
        <w:rPr>
          <w:rFonts w:hint="eastAsia" w:ascii="仿宋" w:hAnsi="仿宋" w:eastAsia="仿宋" w:cs="仿宋"/>
          <w:color w:val="000000" w:themeColor="text1"/>
          <w:sz w:val="32"/>
          <w:szCs w:val="32"/>
        </w:rPr>
        <w:t>组织对“统战业务经费”等16个项目进行了部门评价，涉及一般公共预算支出33.1301万元，政府性基金预算支出0万元，国有资本经营预算支出0万元。从评价情况来看，年初预算数21.94万元，当年预算数55.728万元，全年执行数33.1301万元，完成执行率77.78%，自评结论：一等。</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组织对1个部门（单位）开展整体支出绩效评价试点，涉及一般公共预算支出190.67万元，政府性基金预算支出0万元。从评价情况来看，年初预算数163.94万元，年中预算调整数49.32万元，调整后预算数213.26万元，全年执行数190.67万元，预算执行率89.4%。自评结论：一等。</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2.部门决算中项目绩效自评结果。</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我部门根据年初设定的绩效目标，情况如下：</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1.统战业务经费项目自评得分为</w:t>
      </w:r>
      <w:r>
        <w:rPr>
          <w:rFonts w:ascii="仿宋" w:hAnsi="仿宋" w:eastAsia="仿宋" w:cs="仿宋"/>
          <w:color w:val="000000" w:themeColor="text1"/>
          <w:sz w:val="32"/>
          <w:szCs w:val="32"/>
        </w:rPr>
        <w:t>99.77</w:t>
      </w:r>
      <w:r>
        <w:rPr>
          <w:rFonts w:hint="eastAsia" w:ascii="仿宋" w:hAnsi="仿宋" w:eastAsia="仿宋" w:cs="仿宋"/>
          <w:color w:val="000000" w:themeColor="text1"/>
          <w:sz w:val="32"/>
          <w:szCs w:val="32"/>
        </w:rPr>
        <w:t>分。发现的主要问题及原因：活动经费未完成所以经费未支付完全。下一步改进措施：要按规定按时支付。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w:t>
      </w:r>
      <w:r>
        <w:rPr>
          <w:rFonts w:hint="eastAsia"/>
        </w:rPr>
        <w:t xml:space="preserve"> </w:t>
      </w:r>
      <w:r>
        <w:rPr>
          <w:rFonts w:hint="eastAsia" w:ascii="仿宋" w:hAnsi="仿宋" w:eastAsia="仿宋" w:cs="仿宋"/>
          <w:color w:val="000000" w:themeColor="text1"/>
          <w:sz w:val="32"/>
          <w:szCs w:val="32"/>
        </w:rPr>
        <w:t>侨联经费项目自评得分为</w:t>
      </w:r>
      <w:r>
        <w:rPr>
          <w:rFonts w:ascii="仿宋" w:hAnsi="仿宋" w:eastAsia="仿宋" w:cs="仿宋"/>
          <w:color w:val="000000" w:themeColor="text1"/>
          <w:sz w:val="32"/>
          <w:szCs w:val="32"/>
        </w:rPr>
        <w:t>99.31</w:t>
      </w:r>
      <w:r>
        <w:rPr>
          <w:rFonts w:hint="eastAsia" w:ascii="仿宋" w:hAnsi="仿宋" w:eastAsia="仿宋" w:cs="仿宋"/>
          <w:color w:val="000000" w:themeColor="text1"/>
          <w:sz w:val="32"/>
          <w:szCs w:val="32"/>
        </w:rPr>
        <w:t>分。发现的主要问题及原因：活动经费未完成所以经费未支付完全。下一步改进措施：要按规定按时支付。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w:t>
      </w:r>
      <w:r>
        <w:rPr>
          <w:rFonts w:hint="eastAsia"/>
        </w:rPr>
        <w:t xml:space="preserve"> </w:t>
      </w:r>
      <w:r>
        <w:rPr>
          <w:rFonts w:hint="eastAsia" w:ascii="仿宋" w:hAnsi="仿宋" w:eastAsia="仿宋" w:cs="仿宋"/>
          <w:color w:val="000000" w:themeColor="text1"/>
          <w:sz w:val="32"/>
          <w:szCs w:val="32"/>
        </w:rPr>
        <w:t>统战事务专项工作经费项目自评得分为</w:t>
      </w:r>
      <w:r>
        <w:rPr>
          <w:rFonts w:ascii="仿宋" w:hAnsi="仿宋" w:eastAsia="仿宋" w:cs="仿宋"/>
          <w:color w:val="000000" w:themeColor="text1"/>
          <w:sz w:val="32"/>
          <w:szCs w:val="32"/>
        </w:rPr>
        <w:t>99.64</w:t>
      </w:r>
      <w:r>
        <w:rPr>
          <w:rFonts w:hint="eastAsia" w:ascii="仿宋" w:hAnsi="仿宋" w:eastAsia="仿宋" w:cs="仿宋"/>
          <w:color w:val="000000" w:themeColor="text1"/>
          <w:sz w:val="32"/>
          <w:szCs w:val="32"/>
        </w:rPr>
        <w:t>分。发现的主要问题及原因：活动经费未完成所以经费未支付完全。下一步改进措施：要按规定按时支付。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w:t>
      </w:r>
      <w:r>
        <w:rPr>
          <w:rFonts w:hint="eastAsia"/>
        </w:rPr>
        <w:t xml:space="preserve"> </w:t>
      </w:r>
      <w:r>
        <w:rPr>
          <w:rFonts w:hint="eastAsia" w:ascii="仿宋" w:hAnsi="仿宋" w:eastAsia="仿宋" w:cs="仿宋"/>
          <w:color w:val="000000" w:themeColor="text1"/>
          <w:sz w:val="32"/>
          <w:szCs w:val="32"/>
        </w:rPr>
        <w:t>统战业务培训费项目自评得分为</w:t>
      </w:r>
      <w:r>
        <w:rPr>
          <w:rFonts w:ascii="仿宋" w:hAnsi="仿宋" w:eastAsia="仿宋" w:cs="仿宋"/>
          <w:color w:val="000000" w:themeColor="text1"/>
          <w:sz w:val="32"/>
          <w:szCs w:val="32"/>
        </w:rPr>
        <w:t>97.91</w:t>
      </w:r>
      <w:r>
        <w:rPr>
          <w:rFonts w:hint="eastAsia" w:ascii="仿宋" w:hAnsi="仿宋" w:eastAsia="仿宋" w:cs="仿宋"/>
          <w:color w:val="000000" w:themeColor="text1"/>
          <w:sz w:val="32"/>
          <w:szCs w:val="32"/>
        </w:rPr>
        <w:t>分。发现的主要问题及原因：活动经费未完成所以经费未支付完全。下一步改进措施：要按规定按时支付。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5.</w:t>
      </w:r>
      <w:r>
        <w:rPr>
          <w:rFonts w:hint="eastAsia"/>
        </w:rPr>
        <w:t xml:space="preserve"> </w:t>
      </w:r>
      <w:r>
        <w:rPr>
          <w:rFonts w:hint="eastAsia" w:ascii="仿宋" w:hAnsi="仿宋" w:eastAsia="仿宋" w:cs="仿宋"/>
          <w:color w:val="000000" w:themeColor="text1"/>
          <w:sz w:val="32"/>
          <w:szCs w:val="32"/>
        </w:rPr>
        <w:t>统战会议费项目自评得分为</w:t>
      </w:r>
      <w:r>
        <w:rPr>
          <w:rFonts w:ascii="仿宋" w:hAnsi="仿宋" w:eastAsia="仿宋" w:cs="仿宋"/>
          <w:color w:val="000000" w:themeColor="text1"/>
          <w:sz w:val="32"/>
          <w:szCs w:val="32"/>
        </w:rPr>
        <w:t>60</w:t>
      </w:r>
      <w:r>
        <w:rPr>
          <w:rFonts w:hint="eastAsia" w:ascii="仿宋" w:hAnsi="仿宋" w:eastAsia="仿宋" w:cs="仿宋"/>
          <w:color w:val="000000" w:themeColor="text1"/>
          <w:sz w:val="32"/>
          <w:szCs w:val="32"/>
        </w:rPr>
        <w:t>分。发现的主要问题及原因：活动经费未完成所以经费未支付完全。下一步改进措施：要按规定按时支付。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6.</w:t>
      </w:r>
      <w:r>
        <w:rPr>
          <w:rFonts w:hint="eastAsia"/>
        </w:rPr>
        <w:t xml:space="preserve"> </w:t>
      </w:r>
      <w:r>
        <w:rPr>
          <w:rFonts w:hint="eastAsia" w:ascii="仿宋" w:hAnsi="仿宋" w:eastAsia="仿宋" w:cs="仿宋"/>
          <w:color w:val="000000" w:themeColor="text1"/>
          <w:sz w:val="32"/>
          <w:szCs w:val="32"/>
        </w:rPr>
        <w:t>统战会议费项目自评得分为</w:t>
      </w:r>
      <w:r>
        <w:rPr>
          <w:rFonts w:ascii="仿宋" w:hAnsi="仿宋" w:eastAsia="仿宋" w:cs="仿宋"/>
          <w:color w:val="000000" w:themeColor="text1"/>
          <w:sz w:val="32"/>
          <w:szCs w:val="32"/>
        </w:rPr>
        <w:t>60</w:t>
      </w:r>
      <w:r>
        <w:rPr>
          <w:rFonts w:hint="eastAsia" w:ascii="仿宋" w:hAnsi="仿宋" w:eastAsia="仿宋" w:cs="仿宋"/>
          <w:color w:val="000000" w:themeColor="text1"/>
          <w:sz w:val="32"/>
          <w:szCs w:val="32"/>
        </w:rPr>
        <w:t>分。发现的主要问题及原因：活动经费未完成所以经费未支付完全。下一步改进措施：要按规定按时支付。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7.</w:t>
      </w:r>
      <w:r>
        <w:rPr>
          <w:rFonts w:hint="eastAsia"/>
        </w:rPr>
        <w:t xml:space="preserve"> </w:t>
      </w:r>
      <w:r>
        <w:rPr>
          <w:rFonts w:hint="eastAsia" w:ascii="仿宋" w:hAnsi="仿宋" w:eastAsia="仿宋" w:cs="仿宋"/>
          <w:color w:val="000000" w:themeColor="text1"/>
          <w:sz w:val="32"/>
          <w:szCs w:val="32"/>
        </w:rPr>
        <w:t>台湾事务经费项目自评得分为</w:t>
      </w:r>
      <w:r>
        <w:rPr>
          <w:rFonts w:ascii="仿宋" w:hAnsi="仿宋" w:eastAsia="仿宋" w:cs="仿宋"/>
          <w:color w:val="000000" w:themeColor="text1"/>
          <w:sz w:val="32"/>
          <w:szCs w:val="32"/>
        </w:rPr>
        <w:t>99.96</w:t>
      </w:r>
      <w:r>
        <w:rPr>
          <w:rFonts w:hint="eastAsia" w:ascii="仿宋" w:hAnsi="仿宋" w:eastAsia="仿宋" w:cs="仿宋"/>
          <w:color w:val="000000" w:themeColor="text1"/>
          <w:sz w:val="32"/>
          <w:szCs w:val="32"/>
        </w:rPr>
        <w:t>分。发现的主要问题及原因：活动经费未完成所以经费未支付完全。下一步改进措施：要按规定按时支付。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8.</w:t>
      </w:r>
      <w:r>
        <w:rPr>
          <w:rFonts w:hint="eastAsia"/>
        </w:rPr>
        <w:t xml:space="preserve"> </w:t>
      </w:r>
      <w:r>
        <w:rPr>
          <w:rFonts w:hint="eastAsia" w:ascii="仿宋" w:hAnsi="仿宋" w:eastAsia="仿宋" w:cs="仿宋"/>
          <w:color w:val="000000" w:themeColor="text1"/>
          <w:sz w:val="32"/>
          <w:szCs w:val="32"/>
        </w:rPr>
        <w:t>非公办经费项目自评得分为</w:t>
      </w:r>
      <w:r>
        <w:rPr>
          <w:rFonts w:ascii="仿宋" w:hAnsi="仿宋" w:eastAsia="仿宋" w:cs="仿宋"/>
          <w:color w:val="000000" w:themeColor="text1"/>
          <w:sz w:val="32"/>
          <w:szCs w:val="32"/>
        </w:rPr>
        <w:t>99.49</w:t>
      </w:r>
      <w:r>
        <w:rPr>
          <w:rFonts w:hint="eastAsia" w:ascii="仿宋" w:hAnsi="仿宋" w:eastAsia="仿宋" w:cs="仿宋"/>
          <w:color w:val="000000" w:themeColor="text1"/>
          <w:sz w:val="32"/>
          <w:szCs w:val="32"/>
        </w:rPr>
        <w:t>分。发现的主要问题及原因：活动经费未完成所以经费未支付完全。下一步改进措施：要按规定按时支付。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9.</w:t>
      </w:r>
      <w:r>
        <w:rPr>
          <w:rFonts w:hint="eastAsia"/>
        </w:rPr>
        <w:t xml:space="preserve"> </w:t>
      </w:r>
      <w:r>
        <w:rPr>
          <w:rFonts w:hint="eastAsia" w:ascii="仿宋" w:hAnsi="仿宋" w:eastAsia="仿宋" w:cs="仿宋"/>
          <w:color w:val="000000" w:themeColor="text1"/>
          <w:sz w:val="32"/>
          <w:szCs w:val="32"/>
        </w:rPr>
        <w:t>党支部组织生活经费项目自评得分为80分。发现的主要问题及原因：活动经费未完成所以经费未支付。下一步改进措施：要按规定按时支付。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10.</w:t>
      </w:r>
      <w:r>
        <w:rPr>
          <w:rFonts w:hint="eastAsia"/>
        </w:rPr>
        <w:t xml:space="preserve"> </w:t>
      </w:r>
      <w:r>
        <w:rPr>
          <w:rFonts w:hint="eastAsia" w:ascii="仿宋" w:hAnsi="仿宋" w:eastAsia="仿宋" w:cs="仿宋"/>
          <w:color w:val="000000" w:themeColor="text1"/>
          <w:sz w:val="32"/>
          <w:szCs w:val="32"/>
        </w:rPr>
        <w:t>民族宗教经费项目自评得分为</w:t>
      </w:r>
      <w:r>
        <w:rPr>
          <w:rFonts w:ascii="仿宋" w:hAnsi="仿宋" w:eastAsia="仿宋" w:cs="仿宋"/>
          <w:color w:val="000000" w:themeColor="text1"/>
          <w:sz w:val="32"/>
          <w:szCs w:val="32"/>
        </w:rPr>
        <w:t>99.32</w:t>
      </w:r>
      <w:r>
        <w:rPr>
          <w:rFonts w:hint="eastAsia" w:ascii="仿宋" w:hAnsi="仿宋" w:eastAsia="仿宋" w:cs="仿宋"/>
          <w:color w:val="000000" w:themeColor="text1"/>
          <w:sz w:val="32"/>
          <w:szCs w:val="32"/>
        </w:rPr>
        <w:t>分。发现的主要问题及原因：活动经费未完成所以经费未支付完全。下一步改进措施：要按规定按时支付。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11.</w:t>
      </w:r>
      <w:r>
        <w:rPr>
          <w:rFonts w:hint="eastAsia"/>
        </w:rPr>
        <w:t xml:space="preserve"> </w:t>
      </w:r>
      <w:r>
        <w:rPr>
          <w:rFonts w:hint="eastAsia" w:ascii="仿宋" w:hAnsi="仿宋" w:eastAsia="仿宋" w:cs="仿宋"/>
          <w:color w:val="000000" w:themeColor="text1"/>
          <w:sz w:val="32"/>
          <w:szCs w:val="32"/>
        </w:rPr>
        <w:t>党外代表人士实践锻炼基地工作经费自评得分为</w:t>
      </w:r>
      <w:r>
        <w:rPr>
          <w:rFonts w:ascii="仿宋" w:hAnsi="仿宋" w:eastAsia="仿宋" w:cs="仿宋"/>
          <w:color w:val="000000" w:themeColor="text1"/>
          <w:sz w:val="32"/>
          <w:szCs w:val="32"/>
        </w:rPr>
        <w:t>99.04</w:t>
      </w:r>
      <w:r>
        <w:rPr>
          <w:rFonts w:hint="eastAsia" w:ascii="仿宋" w:hAnsi="仿宋" w:eastAsia="仿宋" w:cs="仿宋"/>
          <w:color w:val="000000" w:themeColor="text1"/>
          <w:sz w:val="32"/>
          <w:szCs w:val="32"/>
        </w:rPr>
        <w:t>分。发现的主要问题及原因：活动经费未完成所以经费未支付完全。下一步改进措施：要按规定按时支付。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12.</w:t>
      </w:r>
      <w:r>
        <w:rPr>
          <w:rFonts w:hint="eastAsia"/>
        </w:rPr>
        <w:t xml:space="preserve"> </w:t>
      </w:r>
      <w:r>
        <w:rPr>
          <w:rFonts w:hint="eastAsia" w:ascii="仿宋" w:hAnsi="仿宋" w:eastAsia="仿宋" w:cs="仿宋"/>
          <w:color w:val="000000" w:themeColor="text1"/>
          <w:sz w:val="32"/>
          <w:szCs w:val="32"/>
        </w:rPr>
        <w:t>侨办经费自评得分为</w:t>
      </w:r>
      <w:r>
        <w:rPr>
          <w:rFonts w:ascii="仿宋" w:hAnsi="仿宋" w:eastAsia="仿宋" w:cs="仿宋"/>
          <w:color w:val="000000" w:themeColor="text1"/>
          <w:sz w:val="32"/>
          <w:szCs w:val="32"/>
        </w:rPr>
        <w:t>100</w:t>
      </w:r>
      <w:r>
        <w:rPr>
          <w:rFonts w:hint="eastAsia" w:ascii="仿宋" w:hAnsi="仿宋" w:eastAsia="仿宋" w:cs="仿宋"/>
          <w:color w:val="000000" w:themeColor="text1"/>
          <w:sz w:val="32"/>
          <w:szCs w:val="32"/>
        </w:rPr>
        <w:t>分。</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13.</w:t>
      </w:r>
      <w:r>
        <w:rPr>
          <w:rFonts w:hint="eastAsia"/>
        </w:rPr>
        <w:t xml:space="preserve"> </w:t>
      </w:r>
      <w:r>
        <w:rPr>
          <w:rFonts w:hint="eastAsia" w:ascii="仿宋" w:hAnsi="仿宋" w:eastAsia="仿宋" w:cs="仿宋"/>
          <w:color w:val="000000" w:themeColor="text1"/>
          <w:sz w:val="32"/>
          <w:szCs w:val="32"/>
        </w:rPr>
        <w:t>抚恤金自评得分为</w:t>
      </w:r>
      <w:r>
        <w:rPr>
          <w:rFonts w:ascii="仿宋" w:hAnsi="仿宋" w:eastAsia="仿宋" w:cs="仿宋"/>
          <w:color w:val="000000" w:themeColor="text1"/>
          <w:sz w:val="32"/>
          <w:szCs w:val="32"/>
        </w:rPr>
        <w:t>100</w:t>
      </w:r>
      <w:r>
        <w:rPr>
          <w:rFonts w:hint="eastAsia" w:ascii="仿宋" w:hAnsi="仿宋" w:eastAsia="仿宋" w:cs="仿宋"/>
          <w:color w:val="000000" w:themeColor="text1"/>
          <w:sz w:val="32"/>
          <w:szCs w:val="32"/>
        </w:rPr>
        <w:t>分。</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14.</w:t>
      </w:r>
      <w:r>
        <w:rPr>
          <w:rFonts w:hint="eastAsia"/>
        </w:rPr>
        <w:t xml:space="preserve"> </w:t>
      </w:r>
      <w:r>
        <w:rPr>
          <w:rFonts w:hint="eastAsia" w:ascii="仿宋" w:hAnsi="仿宋" w:eastAsia="仿宋" w:cs="仿宋"/>
          <w:color w:val="000000" w:themeColor="text1"/>
          <w:sz w:val="32"/>
          <w:szCs w:val="32"/>
        </w:rPr>
        <w:t>自治县政协委员、党外代表人士及政协、统战干部履职能力提升(西南政法大学)培训班自评得分为</w:t>
      </w:r>
      <w:r>
        <w:rPr>
          <w:rFonts w:ascii="仿宋" w:hAnsi="仿宋" w:eastAsia="仿宋" w:cs="仿宋"/>
          <w:color w:val="000000" w:themeColor="text1"/>
          <w:sz w:val="32"/>
          <w:szCs w:val="32"/>
        </w:rPr>
        <w:t>80</w:t>
      </w:r>
      <w:r>
        <w:rPr>
          <w:rFonts w:hint="eastAsia" w:ascii="仿宋" w:hAnsi="仿宋" w:eastAsia="仿宋" w:cs="仿宋"/>
          <w:color w:val="000000" w:themeColor="text1"/>
          <w:sz w:val="32"/>
          <w:szCs w:val="32"/>
        </w:rPr>
        <w:t>分。发现的主要问题及原因：活动经费未完成所以经费未支付。下一步改进措施：要按规定按时支付。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15.</w:t>
      </w:r>
      <w:r>
        <w:rPr>
          <w:rFonts w:hint="eastAsia"/>
        </w:rPr>
        <w:t xml:space="preserve"> </w:t>
      </w:r>
      <w:r>
        <w:rPr>
          <w:rFonts w:hint="eastAsia" w:ascii="仿宋" w:hAnsi="仿宋" w:eastAsia="仿宋" w:cs="仿宋"/>
          <w:color w:val="000000" w:themeColor="text1"/>
          <w:sz w:val="32"/>
          <w:szCs w:val="32"/>
        </w:rPr>
        <w:t>海外华侨届代表人士到环江开展乡村振兴考察活动经费自评得分为100分。</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16.</w:t>
      </w:r>
      <w:r>
        <w:rPr>
          <w:rFonts w:hint="eastAsia"/>
        </w:rPr>
        <w:t xml:space="preserve"> </w:t>
      </w:r>
      <w:r>
        <w:rPr>
          <w:rFonts w:hint="eastAsia" w:ascii="仿宋" w:hAnsi="仿宋" w:eastAsia="仿宋" w:cs="仿宋"/>
          <w:color w:val="000000" w:themeColor="text1"/>
          <w:sz w:val="32"/>
          <w:szCs w:val="32"/>
        </w:rPr>
        <w:t>奖励性补贴自评得分为100分。</w:t>
      </w:r>
    </w:p>
    <w:p>
      <w:pPr>
        <w:ind w:firstLine="640" w:firstLineChars="200"/>
        <w:jc w:val="left"/>
        <w:rPr>
          <w:rFonts w:ascii="仿宋" w:hAnsi="仿宋" w:eastAsia="仿宋" w:cs="仿宋"/>
          <w:color w:val="000000" w:themeColor="text1"/>
          <w:sz w:val="32"/>
          <w:szCs w:val="32"/>
        </w:rPr>
        <w:sectPr>
          <w:pgSz w:w="11906" w:h="16838"/>
          <w:pgMar w:top="1440" w:right="1800" w:bottom="1440" w:left="1800" w:header="851" w:footer="992" w:gutter="0"/>
          <w:cols w:space="0" w:num="1"/>
          <w:docGrid w:type="lines" w:linePitch="312" w:charSpace="0"/>
        </w:sectPr>
      </w:pPr>
      <w:r>
        <w:rPr>
          <w:rFonts w:hint="eastAsia" w:ascii="仿宋" w:hAnsi="仿宋" w:eastAsia="仿宋" w:cs="仿宋"/>
          <w:color w:val="000000" w:themeColor="text1"/>
          <w:sz w:val="32"/>
          <w:szCs w:val="32"/>
        </w:rPr>
        <w:t>17.</w:t>
      </w:r>
      <w:r>
        <w:rPr>
          <w:rFonts w:hint="eastAsia"/>
        </w:rPr>
        <w:t xml:space="preserve"> </w:t>
      </w:r>
      <w:r>
        <w:rPr>
          <w:rFonts w:hint="eastAsia" w:ascii="仿宋" w:hAnsi="仿宋" w:eastAsia="仿宋" w:cs="仿宋"/>
          <w:color w:val="000000" w:themeColor="text1"/>
          <w:sz w:val="32"/>
          <w:szCs w:val="32"/>
        </w:rPr>
        <w:t>桂财行﹝2022﹞2号《关于下达2022年华侨事业费的通知》自评得分为100分。</w:t>
      </w:r>
    </w:p>
    <w:p>
      <w:pPr>
        <w:jc w:val="left"/>
        <w:rPr>
          <w:rFonts w:ascii="仿宋" w:hAnsi="仿宋" w:eastAsia="仿宋" w:cs="仿宋"/>
          <w:color w:val="000000" w:themeColor="text1"/>
          <w:sz w:val="32"/>
          <w:szCs w:val="32"/>
        </w:rPr>
        <w:sectPr>
          <w:type w:val="continuous"/>
          <w:pgSz w:w="11906" w:h="16838"/>
          <w:pgMar w:top="1440" w:right="1800" w:bottom="1440" w:left="1800" w:header="851" w:footer="992" w:gutter="0"/>
          <w:cols w:space="0" w:num="1"/>
          <w:docGrid w:type="lines" w:linePitch="312" w:charSpace="0"/>
        </w:sectPr>
      </w:pPr>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一、财政拨款收入：指</w:t>
      </w:r>
      <w:r>
        <w:rPr>
          <w:rFonts w:ascii="仿宋" w:hAnsi="仿宋" w:eastAsia="仿宋" w:cs="仿宋"/>
          <w:sz w:val="32"/>
        </w:rPr>
        <w:t>环江毛南族自治县财政部门当年拨付的资金。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十二、“三公”经费：纳入</w:t>
      </w:r>
      <w:r>
        <w:rPr>
          <w:rFonts w:ascii="仿宋" w:hAnsi="仿宋" w:eastAsia="仿宋" w:cs="仿宋"/>
          <w:sz w:val="32"/>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rPr>
        <w:sectPr>
          <w:type w:val="continuous"/>
          <w:pgSz w:w="11906" w:h="16838"/>
          <w:pgMar w:top="1440" w:right="1800" w:bottom="1440" w:left="1800" w:header="851" w:footer="992" w:gutter="0"/>
          <w:cols w:space="0" w:num="1"/>
          <w:docGrid w:type="lines" w:linePitch="312" w:charSpace="0"/>
        </w:sect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w:t>
      </w:r>
      <w:r>
        <w:rPr>
          <w:rFonts w:hint="eastAsia" w:ascii="仿宋" w:hAnsi="仿宋" w:eastAsia="仿宋" w:cs="仿宋"/>
          <w:spacing w:val="-20"/>
          <w:sz w:val="32"/>
          <w:szCs w:val="32"/>
        </w:rPr>
        <w:t>常维修费、专用材料及一般设备购置费、办公用房水电费、办公用房取暖费、办公用房物业管理费、公务用车运行维护费以及其他费用。</w:t>
      </w:r>
    </w:p>
    <w:p>
      <w:pPr>
        <w:jc w:val="left"/>
        <w:rPr>
          <w:rFonts w:ascii="仿宋" w:hAnsi="仿宋" w:eastAsia="仿宋" w:cs="仿宋"/>
          <w:sz w:val="32"/>
          <w:szCs w:val="32"/>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FiOTZkYjkwN2Q1MTBhY2U1NDI3ZmEwNzcyMDM4OGMifQ=="/>
  </w:docVars>
  <w:rsids>
    <w:rsidRoot w:val="637D7558"/>
    <w:rsid w:val="00002C84"/>
    <w:rsid w:val="00013806"/>
    <w:rsid w:val="00020E03"/>
    <w:rsid w:val="00022149"/>
    <w:rsid w:val="00047F6C"/>
    <w:rsid w:val="00067BE8"/>
    <w:rsid w:val="00073900"/>
    <w:rsid w:val="00082922"/>
    <w:rsid w:val="00093C26"/>
    <w:rsid w:val="00094B91"/>
    <w:rsid w:val="000B06D8"/>
    <w:rsid w:val="000B4F77"/>
    <w:rsid w:val="000B7D07"/>
    <w:rsid w:val="000C7427"/>
    <w:rsid w:val="000D5762"/>
    <w:rsid w:val="000E5855"/>
    <w:rsid w:val="001050DC"/>
    <w:rsid w:val="001418A5"/>
    <w:rsid w:val="00147D40"/>
    <w:rsid w:val="00156EF2"/>
    <w:rsid w:val="001A4E97"/>
    <w:rsid w:val="001A500B"/>
    <w:rsid w:val="001C5E96"/>
    <w:rsid w:val="001D7B97"/>
    <w:rsid w:val="001E5634"/>
    <w:rsid w:val="001F25B2"/>
    <w:rsid w:val="00210E20"/>
    <w:rsid w:val="00223F38"/>
    <w:rsid w:val="00233613"/>
    <w:rsid w:val="00254DBE"/>
    <w:rsid w:val="002711BA"/>
    <w:rsid w:val="00275CAB"/>
    <w:rsid w:val="0027709D"/>
    <w:rsid w:val="0028709C"/>
    <w:rsid w:val="0029328F"/>
    <w:rsid w:val="002A2A00"/>
    <w:rsid w:val="002B2731"/>
    <w:rsid w:val="002F202C"/>
    <w:rsid w:val="00324A2B"/>
    <w:rsid w:val="0033363E"/>
    <w:rsid w:val="00342489"/>
    <w:rsid w:val="00346085"/>
    <w:rsid w:val="00374594"/>
    <w:rsid w:val="00382867"/>
    <w:rsid w:val="00386EB9"/>
    <w:rsid w:val="003A4973"/>
    <w:rsid w:val="003C1C96"/>
    <w:rsid w:val="003C297A"/>
    <w:rsid w:val="003C69F8"/>
    <w:rsid w:val="003D563D"/>
    <w:rsid w:val="003E40BA"/>
    <w:rsid w:val="003E7165"/>
    <w:rsid w:val="0041579D"/>
    <w:rsid w:val="004229BF"/>
    <w:rsid w:val="00427074"/>
    <w:rsid w:val="00434D04"/>
    <w:rsid w:val="00454F15"/>
    <w:rsid w:val="00484BA9"/>
    <w:rsid w:val="004A728D"/>
    <w:rsid w:val="004C4D73"/>
    <w:rsid w:val="004D0A93"/>
    <w:rsid w:val="004D7D0E"/>
    <w:rsid w:val="005234F5"/>
    <w:rsid w:val="00526102"/>
    <w:rsid w:val="005266A5"/>
    <w:rsid w:val="00531745"/>
    <w:rsid w:val="00574196"/>
    <w:rsid w:val="005C564D"/>
    <w:rsid w:val="005F3D45"/>
    <w:rsid w:val="00602EDC"/>
    <w:rsid w:val="006123AD"/>
    <w:rsid w:val="00613DCF"/>
    <w:rsid w:val="00621FDC"/>
    <w:rsid w:val="006358E8"/>
    <w:rsid w:val="00645B83"/>
    <w:rsid w:val="0066173C"/>
    <w:rsid w:val="006848AB"/>
    <w:rsid w:val="006967A7"/>
    <w:rsid w:val="006A26C1"/>
    <w:rsid w:val="006B36A8"/>
    <w:rsid w:val="006D37DB"/>
    <w:rsid w:val="006D677A"/>
    <w:rsid w:val="006D735E"/>
    <w:rsid w:val="006E48A8"/>
    <w:rsid w:val="007061AC"/>
    <w:rsid w:val="00733EE2"/>
    <w:rsid w:val="007640BB"/>
    <w:rsid w:val="00771953"/>
    <w:rsid w:val="00776E0B"/>
    <w:rsid w:val="007A0641"/>
    <w:rsid w:val="007B5076"/>
    <w:rsid w:val="007B61E8"/>
    <w:rsid w:val="007C52E7"/>
    <w:rsid w:val="007C54EA"/>
    <w:rsid w:val="007C776D"/>
    <w:rsid w:val="007D7CE3"/>
    <w:rsid w:val="007E2F6C"/>
    <w:rsid w:val="00817C69"/>
    <w:rsid w:val="00823A94"/>
    <w:rsid w:val="00824151"/>
    <w:rsid w:val="008241BE"/>
    <w:rsid w:val="008315A9"/>
    <w:rsid w:val="00834354"/>
    <w:rsid w:val="00854D90"/>
    <w:rsid w:val="008552C3"/>
    <w:rsid w:val="00866754"/>
    <w:rsid w:val="0087795E"/>
    <w:rsid w:val="00895C41"/>
    <w:rsid w:val="008D18BE"/>
    <w:rsid w:val="008F1B95"/>
    <w:rsid w:val="008F4AE2"/>
    <w:rsid w:val="008F6882"/>
    <w:rsid w:val="00934C72"/>
    <w:rsid w:val="00946CCF"/>
    <w:rsid w:val="00951166"/>
    <w:rsid w:val="00960F17"/>
    <w:rsid w:val="0097721B"/>
    <w:rsid w:val="009831F8"/>
    <w:rsid w:val="009B3E00"/>
    <w:rsid w:val="009D1667"/>
    <w:rsid w:val="009E1569"/>
    <w:rsid w:val="009E47F7"/>
    <w:rsid w:val="009F13D0"/>
    <w:rsid w:val="009F1C0E"/>
    <w:rsid w:val="00A07CCE"/>
    <w:rsid w:val="00A27624"/>
    <w:rsid w:val="00A34442"/>
    <w:rsid w:val="00A358E6"/>
    <w:rsid w:val="00A44932"/>
    <w:rsid w:val="00A9516A"/>
    <w:rsid w:val="00AA78EE"/>
    <w:rsid w:val="00AB53E1"/>
    <w:rsid w:val="00AE5F66"/>
    <w:rsid w:val="00B07A0B"/>
    <w:rsid w:val="00B15123"/>
    <w:rsid w:val="00B22F28"/>
    <w:rsid w:val="00B37453"/>
    <w:rsid w:val="00B3746A"/>
    <w:rsid w:val="00B45479"/>
    <w:rsid w:val="00B54682"/>
    <w:rsid w:val="00B60171"/>
    <w:rsid w:val="00B702D2"/>
    <w:rsid w:val="00B837AC"/>
    <w:rsid w:val="00BA5DAC"/>
    <w:rsid w:val="00BB4FB8"/>
    <w:rsid w:val="00BD315D"/>
    <w:rsid w:val="00C1625A"/>
    <w:rsid w:val="00C3279E"/>
    <w:rsid w:val="00C34857"/>
    <w:rsid w:val="00C4108C"/>
    <w:rsid w:val="00C538A2"/>
    <w:rsid w:val="00C55882"/>
    <w:rsid w:val="00C6311A"/>
    <w:rsid w:val="00C637B0"/>
    <w:rsid w:val="00C96763"/>
    <w:rsid w:val="00CA2E26"/>
    <w:rsid w:val="00CB330A"/>
    <w:rsid w:val="00D00918"/>
    <w:rsid w:val="00D14326"/>
    <w:rsid w:val="00D23ED1"/>
    <w:rsid w:val="00D33973"/>
    <w:rsid w:val="00D347E1"/>
    <w:rsid w:val="00D357C4"/>
    <w:rsid w:val="00D5628B"/>
    <w:rsid w:val="00D75968"/>
    <w:rsid w:val="00D772CC"/>
    <w:rsid w:val="00D84F30"/>
    <w:rsid w:val="00D878A6"/>
    <w:rsid w:val="00DC4A9E"/>
    <w:rsid w:val="00DD5D19"/>
    <w:rsid w:val="00DE2BAC"/>
    <w:rsid w:val="00DE43D4"/>
    <w:rsid w:val="00DE74BD"/>
    <w:rsid w:val="00DE7D07"/>
    <w:rsid w:val="00E269C2"/>
    <w:rsid w:val="00EB7822"/>
    <w:rsid w:val="00EC2C6D"/>
    <w:rsid w:val="00EC50A9"/>
    <w:rsid w:val="00ED04DB"/>
    <w:rsid w:val="00F042AA"/>
    <w:rsid w:val="00F21455"/>
    <w:rsid w:val="00F5354B"/>
    <w:rsid w:val="00F83DFA"/>
    <w:rsid w:val="00F95135"/>
    <w:rsid w:val="00F9658C"/>
    <w:rsid w:val="00F978FD"/>
    <w:rsid w:val="00FA738E"/>
    <w:rsid w:val="00FC438B"/>
    <w:rsid w:val="01234E98"/>
    <w:rsid w:val="015F1951"/>
    <w:rsid w:val="020C171D"/>
    <w:rsid w:val="0216715F"/>
    <w:rsid w:val="02E0291A"/>
    <w:rsid w:val="037D5942"/>
    <w:rsid w:val="04E54546"/>
    <w:rsid w:val="05992762"/>
    <w:rsid w:val="07B0770E"/>
    <w:rsid w:val="0942143F"/>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4B4E2B"/>
    <w:rsid w:val="283D7C94"/>
    <w:rsid w:val="284660D6"/>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C07002B"/>
    <w:rsid w:val="3D0D152A"/>
    <w:rsid w:val="3DF62756"/>
    <w:rsid w:val="3F1B7587"/>
    <w:rsid w:val="3FF65EED"/>
    <w:rsid w:val="41E57B4F"/>
    <w:rsid w:val="432F26F6"/>
    <w:rsid w:val="43880F63"/>
    <w:rsid w:val="441C5A6F"/>
    <w:rsid w:val="44C44FCC"/>
    <w:rsid w:val="44CC7369"/>
    <w:rsid w:val="457F5108"/>
    <w:rsid w:val="46951B6B"/>
    <w:rsid w:val="49A34401"/>
    <w:rsid w:val="4A3E30AB"/>
    <w:rsid w:val="4AC14DAC"/>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190.67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81391744"/>
        <c:axId val="181393280"/>
      </c:barChart>
      <c:catAx>
        <c:axId val="1813917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393280"/>
        <c:crosses val="autoZero"/>
        <c:auto val="1"/>
        <c:lblAlgn val="ctr"/>
        <c:lblOffset val="100"/>
        <c:noMultiLvlLbl val="0"/>
      </c:catAx>
      <c:valAx>
        <c:axId val="1813932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3917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3610496"/>
        <c:axId val="173612032"/>
      </c:barChart>
      <c:catAx>
        <c:axId val="17361049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3612032"/>
        <c:crosses val="autoZero"/>
        <c:auto val="1"/>
        <c:lblAlgn val="ctr"/>
        <c:lblOffset val="100"/>
        <c:noMultiLvlLbl val="0"/>
      </c:catAx>
      <c:valAx>
        <c:axId val="1736120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3610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81262976"/>
        <c:axId val="293392768"/>
      </c:barChart>
      <c:catAx>
        <c:axId val="1812629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3392768"/>
        <c:crosses val="autoZero"/>
        <c:auto val="1"/>
        <c:lblAlgn val="ctr"/>
        <c:lblOffset val="100"/>
        <c:noMultiLvlLbl val="0"/>
      </c:catAx>
      <c:valAx>
        <c:axId val="2933927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262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162.31</c:v>
                </c:pt>
                <c:pt idx="1">
                  <c:v>12.94</c:v>
                </c:pt>
                <c:pt idx="2">
                  <c:v>10.41</c:v>
                </c:pt>
                <c:pt idx="3">
                  <c:v>30.03</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135.55</c:v>
                </c:pt>
                <c:pt idx="1">
                  <c:v>14.06</c:v>
                </c:pt>
                <c:pt idx="2">
                  <c:v>11.11</c:v>
                </c:pt>
                <c:pt idx="3">
                  <c:v>29.94</c:v>
                </c:pt>
              </c:numCache>
            </c:numRef>
          </c:val>
        </c:ser>
        <c:dLbls>
          <c:showLegendKey val="0"/>
          <c:showVal val="0"/>
          <c:showCatName val="0"/>
          <c:showSerName val="0"/>
          <c:showPercent val="0"/>
          <c:showBubbleSize val="0"/>
        </c:dLbls>
        <c:gapWidth val="219"/>
        <c:overlap val="-27"/>
        <c:axId val="277315968"/>
        <c:axId val="277553920"/>
      </c:barChart>
      <c:catAx>
        <c:axId val="2773159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7553920"/>
        <c:crosses val="autoZero"/>
        <c:auto val="1"/>
        <c:lblAlgn val="ctr"/>
        <c:lblOffset val="100"/>
        <c:noMultiLvlLbl val="0"/>
      </c:catAx>
      <c:valAx>
        <c:axId val="2775539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7315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Sheet1!$A$2:$A$9</c:f>
              <c:strCache>
                <c:ptCount val="8"/>
                <c:pt idx="0">
                  <c:v>2012501</c:v>
                </c:pt>
                <c:pt idx="1">
                  <c:v>2012505</c:v>
                </c:pt>
                <c:pt idx="2">
                  <c:v>2012999</c:v>
                </c:pt>
                <c:pt idx="3">
                  <c:v>2013401</c:v>
                </c:pt>
                <c:pt idx="4">
                  <c:v>2013404</c:v>
                </c:pt>
                <c:pt idx="5">
                  <c:v>2013405</c:v>
                </c:pt>
                <c:pt idx="6">
                  <c:v>2013499</c:v>
                </c:pt>
                <c:pt idx="7">
                  <c:v>201x</c:v>
                </c:pt>
              </c:strCache>
            </c:strRef>
          </c:cat>
          <c:val>
            <c:numRef>
              <c:f>Sheet1!$B$2:$B$9</c:f>
              <c:numCache>
                <c:formatCode>General</c:formatCode>
                <c:ptCount val="8"/>
                <c:pt idx="0">
                  <c:v>7.88</c:v>
                </c:pt>
                <c:pt idx="1">
                  <c:v>1.43</c:v>
                </c:pt>
                <c:pt idx="2">
                  <c:v>1.86</c:v>
                </c:pt>
                <c:pt idx="3">
                  <c:v>118.52</c:v>
                </c:pt>
                <c:pt idx="4">
                  <c:v>0.670000000000001</c:v>
                </c:pt>
                <c:pt idx="5">
                  <c:v>1.3</c:v>
                </c:pt>
                <c:pt idx="6">
                  <c:v>3.89</c:v>
                </c:pt>
                <c:pt idx="7">
                  <c:v>135.55</c:v>
                </c:pt>
              </c:numCache>
            </c:numRef>
          </c:val>
        </c:ser>
        <c:dLbls>
          <c:showLegendKey val="0"/>
          <c:showVal val="0"/>
          <c:showCatName val="0"/>
          <c:showSerName val="0"/>
          <c:showPercent val="0"/>
          <c:showBubbleSize val="0"/>
        </c:dLbls>
        <c:gapWidth val="219"/>
        <c:overlap val="-27"/>
        <c:axId val="293391360"/>
        <c:axId val="293975168"/>
      </c:barChart>
      <c:catAx>
        <c:axId val="2933913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3975168"/>
        <c:crosses val="autoZero"/>
        <c:auto val="1"/>
        <c:lblAlgn val="ctr"/>
        <c:lblOffset val="100"/>
        <c:noMultiLvlLbl val="0"/>
      </c:catAx>
      <c:valAx>
        <c:axId val="2939751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33913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14.06</c:v>
                </c:pt>
                <c:pt idx="1">
                  <c:v>14.06</c:v>
                </c:pt>
              </c:numCache>
            </c:numRef>
          </c:val>
        </c:ser>
        <c:dLbls>
          <c:showLegendKey val="0"/>
          <c:showVal val="0"/>
          <c:showCatName val="0"/>
          <c:showSerName val="0"/>
          <c:showPercent val="0"/>
          <c:showBubbleSize val="0"/>
        </c:dLbls>
        <c:gapWidth val="219"/>
        <c:overlap val="-27"/>
        <c:axId val="47744128"/>
        <c:axId val="47745664"/>
      </c:barChart>
      <c:catAx>
        <c:axId val="477441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745664"/>
        <c:crosses val="autoZero"/>
        <c:auto val="1"/>
        <c:lblAlgn val="ctr"/>
        <c:lblOffset val="100"/>
        <c:noMultiLvlLbl val="0"/>
      </c:catAx>
      <c:valAx>
        <c:axId val="477456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7441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11.11</c:v>
                </c:pt>
                <c:pt idx="1">
                  <c:v>11.11</c:v>
                </c:pt>
              </c:numCache>
            </c:numRef>
          </c:val>
        </c:ser>
        <c:dLbls>
          <c:showLegendKey val="0"/>
          <c:showVal val="0"/>
          <c:showCatName val="0"/>
          <c:showSerName val="0"/>
          <c:showPercent val="0"/>
          <c:showBubbleSize val="0"/>
        </c:dLbls>
        <c:gapWidth val="219"/>
        <c:overlap val="-27"/>
        <c:axId val="181098752"/>
        <c:axId val="181108736"/>
      </c:barChart>
      <c:catAx>
        <c:axId val="1810987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108736"/>
        <c:crosses val="autoZero"/>
        <c:auto val="1"/>
        <c:lblAlgn val="ctr"/>
        <c:lblOffset val="100"/>
        <c:noMultiLvlLbl val="0"/>
      </c:catAx>
      <c:valAx>
        <c:axId val="1811087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0987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29.94</c:v>
                </c:pt>
                <c:pt idx="1">
                  <c:v>29.94</c:v>
                </c:pt>
              </c:numCache>
            </c:numRef>
          </c:val>
        </c:ser>
        <c:dLbls>
          <c:showLegendKey val="0"/>
          <c:showVal val="0"/>
          <c:showCatName val="0"/>
          <c:showSerName val="0"/>
          <c:showPercent val="0"/>
          <c:showBubbleSize val="0"/>
        </c:dLbls>
        <c:gapWidth val="219"/>
        <c:overlap val="-27"/>
        <c:axId val="181169536"/>
        <c:axId val="181179520"/>
      </c:barChart>
      <c:catAx>
        <c:axId val="1811695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179520"/>
        <c:crosses val="autoZero"/>
        <c:auto val="1"/>
        <c:lblAlgn val="ctr"/>
        <c:lblOffset val="100"/>
        <c:noMultiLvlLbl val="0"/>
      </c:catAx>
      <c:valAx>
        <c:axId val="1811795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1695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35.9</c:v>
                </c:pt>
                <c:pt idx="1">
                  <c:v>23.01</c:v>
                </c:pt>
                <c:pt idx="2">
                  <c:v>44.61</c:v>
                </c:pt>
                <c:pt idx="3">
                  <c:v>0</c:v>
                </c:pt>
                <c:pt idx="4">
                  <c:v>0</c:v>
                </c:pt>
                <c:pt idx="5">
                  <c:v>15.17</c:v>
                </c:pt>
                <c:pt idx="6">
                  <c:v>0</c:v>
                </c:pt>
                <c:pt idx="7">
                  <c:v>6.45</c:v>
                </c:pt>
                <c:pt idx="8">
                  <c:v>0</c:v>
                </c:pt>
                <c:pt idx="9">
                  <c:v>0.21</c:v>
                </c:pt>
                <c:pt idx="10">
                  <c:v>11.36</c:v>
                </c:pt>
                <c:pt idx="11">
                  <c:v>0</c:v>
                </c:pt>
                <c:pt idx="12">
                  <c:v>2.9</c:v>
                </c:pt>
              </c:numCache>
            </c:numRef>
          </c:val>
        </c:ser>
        <c:dLbls>
          <c:showLegendKey val="0"/>
          <c:showVal val="0"/>
          <c:showCatName val="0"/>
          <c:showSerName val="0"/>
          <c:showPercent val="0"/>
          <c:showBubbleSize val="0"/>
        </c:dLbls>
        <c:gapWidth val="219"/>
        <c:overlap val="-27"/>
        <c:axId val="181191424"/>
        <c:axId val="181192960"/>
      </c:barChart>
      <c:catAx>
        <c:axId val="1811914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192960"/>
        <c:crosses val="autoZero"/>
        <c:auto val="1"/>
        <c:lblAlgn val="ctr"/>
        <c:lblOffset val="100"/>
        <c:noMultiLvlLbl val="0"/>
      </c:catAx>
      <c:valAx>
        <c:axId val="1811929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1914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1</c:v>
                </c:pt>
                <c:pt idx="1">
                  <c:v>0</c:v>
                </c:pt>
                <c:pt idx="2">
                  <c:v>0</c:v>
                </c:pt>
                <c:pt idx="3">
                  <c:v>0</c:v>
                </c:pt>
                <c:pt idx="4">
                  <c:v>0</c:v>
                </c:pt>
                <c:pt idx="5">
                  <c:v>0</c:v>
                </c:pt>
                <c:pt idx="6">
                  <c:v>1.05</c:v>
                </c:pt>
                <c:pt idx="7">
                  <c:v>0</c:v>
                </c:pt>
                <c:pt idx="8">
                  <c:v>0</c:v>
                </c:pt>
                <c:pt idx="9">
                  <c:v>1.66</c:v>
                </c:pt>
                <c:pt idx="10">
                  <c:v>0</c:v>
                </c:pt>
                <c:pt idx="11">
                  <c:v>0</c:v>
                </c:pt>
                <c:pt idx="12">
                  <c:v>0</c:v>
                </c:pt>
                <c:pt idx="13">
                  <c:v>0</c:v>
                </c:pt>
                <c:pt idx="14">
                  <c:v>0</c:v>
                </c:pt>
                <c:pt idx="15">
                  <c:v>0</c:v>
                </c:pt>
                <c:pt idx="16">
                  <c:v>0</c:v>
                </c:pt>
                <c:pt idx="17">
                  <c:v>0</c:v>
                </c:pt>
                <c:pt idx="18">
                  <c:v>0</c:v>
                </c:pt>
                <c:pt idx="19">
                  <c:v>0</c:v>
                </c:pt>
                <c:pt idx="20">
                  <c:v>0</c:v>
                </c:pt>
                <c:pt idx="21">
                  <c:v>1.86</c:v>
                </c:pt>
                <c:pt idx="22">
                  <c:v>0</c:v>
                </c:pt>
                <c:pt idx="23">
                  <c:v>0</c:v>
                </c:pt>
                <c:pt idx="24">
                  <c:v>8.4</c:v>
                </c:pt>
                <c:pt idx="25">
                  <c:v>0</c:v>
                </c:pt>
                <c:pt idx="26">
                  <c:v>0</c:v>
                </c:pt>
              </c:numCache>
            </c:numRef>
          </c:val>
        </c:ser>
        <c:dLbls>
          <c:showLegendKey val="0"/>
          <c:showVal val="0"/>
          <c:showCatName val="0"/>
          <c:showSerName val="0"/>
          <c:showPercent val="0"/>
          <c:showBubbleSize val="0"/>
        </c:dLbls>
        <c:gapWidth val="219"/>
        <c:overlap val="-27"/>
        <c:axId val="181065984"/>
        <c:axId val="181075968"/>
      </c:barChart>
      <c:catAx>
        <c:axId val="1810659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075968"/>
        <c:crosses val="autoZero"/>
        <c:auto val="1"/>
        <c:lblAlgn val="ctr"/>
        <c:lblOffset val="100"/>
        <c:noMultiLvlLbl val="0"/>
      </c:catAx>
      <c:valAx>
        <c:axId val="1810759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0659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1.08</c:v>
                </c:pt>
                <c:pt idx="4">
                  <c:v>8.47</c:v>
                </c:pt>
                <c:pt idx="5">
                  <c:v>0</c:v>
                </c:pt>
                <c:pt idx="6">
                  <c:v>0</c:v>
                </c:pt>
                <c:pt idx="7">
                  <c:v>0</c:v>
                </c:pt>
                <c:pt idx="8">
                  <c:v>0</c:v>
                </c:pt>
                <c:pt idx="9">
                  <c:v>0</c:v>
                </c:pt>
                <c:pt idx="10">
                  <c:v>0</c:v>
                </c:pt>
                <c:pt idx="11">
                  <c:v>2</c:v>
                </c:pt>
              </c:numCache>
            </c:numRef>
          </c:val>
        </c:ser>
        <c:dLbls>
          <c:showLegendKey val="0"/>
          <c:showVal val="0"/>
          <c:showCatName val="0"/>
          <c:showSerName val="0"/>
          <c:showPercent val="0"/>
          <c:showBubbleSize val="0"/>
        </c:dLbls>
        <c:gapWidth val="219"/>
        <c:overlap val="-27"/>
        <c:axId val="181128192"/>
        <c:axId val="181355264"/>
      </c:barChart>
      <c:catAx>
        <c:axId val="1811281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355264"/>
        <c:crosses val="autoZero"/>
        <c:auto val="1"/>
        <c:lblAlgn val="ctr"/>
        <c:lblOffset val="100"/>
        <c:noMultiLvlLbl val="0"/>
      </c:catAx>
      <c:valAx>
        <c:axId val="1813552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128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D61A-2BD0-4132-B714-F31DB51B021C}">
  <ds:schemaRefs/>
</ds:datastoreItem>
</file>

<file path=docProps/app.xml><?xml version="1.0" encoding="utf-8"?>
<Properties xmlns="http://schemas.openxmlformats.org/officeDocument/2006/extended-properties" xmlns:vt="http://schemas.openxmlformats.org/officeDocument/2006/docPropsVTypes">
  <Template>Normal</Template>
  <Pages>45</Pages>
  <Words>2746</Words>
  <Characters>15654</Characters>
  <Lines>130</Lines>
  <Paragraphs>36</Paragraphs>
  <TotalTime>143</TotalTime>
  <ScaleCrop>false</ScaleCrop>
  <LinksUpToDate>false</LinksUpToDate>
  <CharactersWithSpaces>18364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2023-11-29T03:15:48Z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