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仿宋" w:hAnsi="仿宋" w:eastAsia="仿宋" w:cs="仿宋"/>
          <w:sz w:val="32"/>
          <w:szCs w:val="32"/>
          <w:highlight w:val="none"/>
        </w:rPr>
      </w:pPr>
      <w:r>
        <w:rPr>
          <w:rFonts w:hint="eastAsia" w:ascii="黑体" w:hAnsi="黑体" w:eastAsia="黑体" w:cs="黑体"/>
          <w:b/>
          <w:bCs/>
          <w:sz w:val="52"/>
          <w:szCs w:val="52"/>
          <w:highlight w:val="none"/>
        </w:rPr>
        <w:t>中国共产党环江毛南族自治县纪律检查委员会2022年度部门决算</w:t>
      </w:r>
    </w:p>
    <w:p>
      <w:pPr>
        <w:jc w:val="center"/>
        <w:rPr>
          <w:rFonts w:ascii="仿宋" w:hAnsi="仿宋" w:eastAsia="仿宋" w:cs="仿宋"/>
          <w:sz w:val="32"/>
          <w:szCs w:val="32"/>
          <w:highlight w:val="none"/>
        </w:rPr>
      </w:pPr>
    </w:p>
    <w:p>
      <w:pPr>
        <w:pStyle w:val="2"/>
        <w:rPr>
          <w:rFonts w:ascii="仿宋" w:hAnsi="仿宋" w:eastAsia="仿宋" w:cs="仿宋"/>
          <w:sz w:val="32"/>
          <w:szCs w:val="32"/>
          <w:highlight w:val="none"/>
        </w:rPr>
      </w:pPr>
    </w:p>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keepNext w:val="0"/>
        <w:keepLines w:val="0"/>
        <w:pageBreakBefore w:val="0"/>
        <w:widowControl w:val="0"/>
        <w:numPr>
          <w:ilvl w:val="0"/>
          <w:numId w:val="1"/>
        </w:numPr>
        <w:kinsoku/>
        <w:wordWrap/>
        <w:overflowPunct/>
        <w:topLinePunct w:val="0"/>
        <w:bidi w:val="0"/>
        <w:snapToGrid/>
        <w:spacing w:line="52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主要职能</w:t>
      </w:r>
    </w:p>
    <w:p>
      <w:pPr>
        <w:keepNext w:val="0"/>
        <w:keepLines w:val="0"/>
        <w:pageBreakBefore w:val="0"/>
        <w:widowControl w:val="0"/>
        <w:numPr>
          <w:ilvl w:val="0"/>
          <w:numId w:val="1"/>
        </w:numPr>
        <w:kinsoku/>
        <w:wordWrap/>
        <w:overflowPunct/>
        <w:topLinePunct w:val="0"/>
        <w:bidi w:val="0"/>
        <w:snapToGrid/>
        <w:spacing w:line="52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部门决算单位构成</w:t>
      </w:r>
    </w:p>
    <w:p>
      <w:pPr>
        <w:keepNext w:val="0"/>
        <w:keepLines w:val="0"/>
        <w:pageBreakBefore w:val="0"/>
        <w:widowControl w:val="0"/>
        <w:kinsoku/>
        <w:wordWrap/>
        <w:overflowPunct/>
        <w:topLinePunct w:val="0"/>
        <w:bidi w:val="0"/>
        <w:snapToGrid/>
        <w:spacing w:line="5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bidi w:val="0"/>
        <w:snapToGrid/>
        <w:spacing w:line="5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keepNext w:val="0"/>
        <w:keepLines w:val="0"/>
        <w:pageBreakBefore w:val="0"/>
        <w:widowControl w:val="0"/>
        <w:kinsoku/>
        <w:wordWrap/>
        <w:overflowPunct/>
        <w:topLinePunct w:val="0"/>
        <w:bidi w:val="0"/>
        <w:snapToGrid/>
        <w:spacing w:line="5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共环江毛南族自治县纪律检查委员会与环江毛南族自治县监察委员会合署办公，实行一套工作机构、两个机关名称，履行党的纪律检查和国家监察两项职责。自治县纪委监委接受自治县党委和河池市纪委监委的双重领导，由自治县纪委监委对自治县党委和河池市纪委监委负责。主要职责是：</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（一）主管全县的纪律检查工作。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（二）依照党的章程和其他党内法规履行监督、执纪、问责职责。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（三）在自治县党委领导下，配合自治县党委巡察工作领导小组组织开展巡察工作。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（四）负责全县监察工作。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（五）依照法律规定履行监督、调查、处置职责。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（六）负责组织协调全面从严治党、党风廉政建设和反腐败宣传教育工作。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（七）负责综合分析全面从严治党、党风廉政建设和反腐败工作情况等。</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（八）做好纪检监察干部的管理工作；组织和指导全县纪检、监察系统干部的培训工作。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 w:hAnsi="仿宋" w:eastAsia="仿宋" w:cs="仿宋"/>
          <w:sz w:val="32"/>
          <w:szCs w:val="32"/>
          <w:highlight w:val="none"/>
          <w:lang w:eastAsia="zh-CN"/>
        </w:rPr>
      </w:pPr>
      <w:r>
        <w:rPr>
          <w:rFonts w:hint="eastAsia" w:ascii="仿宋_GB2312" w:hAnsi="仿宋_GB2312" w:eastAsia="仿宋_GB2312" w:cs="仿宋_GB2312"/>
          <w:kern w:val="2"/>
          <w:sz w:val="32"/>
          <w:szCs w:val="32"/>
        </w:rPr>
        <w:t>（九）完成自治县党委和自治区、市纪委监委交办的其他事项。</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156" w:beforeLines="50" w:beforeAutospacing="0" w:after="0" w:afterAutospacing="0" w:line="600" w:lineRule="exact"/>
        <w:ind w:firstLine="72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1、单位构成情况</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（一）办公室</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（二）预防宣教室</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（三）党风政风监督室</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（四）案件审理室</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（五）信访室（举报中心）</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（六）案管室</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（七）第一纪检监察室</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（八）第二纪检监察室</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（九）第三纪检监察室</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（十）第四纪检监察室</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（十一）第五纪检监察室</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十二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各派驻组</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2、人员构成情况。</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ascii="仿宋" w:hAnsi="仿宋" w:eastAsia="仿宋" w:cs="仿宋"/>
          <w:sz w:val="32"/>
          <w:szCs w:val="32"/>
          <w:highlight w:val="none"/>
        </w:rPr>
      </w:pPr>
      <w:r>
        <w:rPr>
          <w:rFonts w:hint="eastAsia" w:ascii="仿宋_GB2312" w:hAnsi="仿宋_GB2312" w:eastAsia="仿宋_GB2312" w:cs="仿宋_GB2312"/>
          <w:kern w:val="2"/>
          <w:sz w:val="32"/>
          <w:szCs w:val="32"/>
        </w:rPr>
        <w:t>环江县纪委监委人员编制总数为</w:t>
      </w:r>
      <w:r>
        <w:rPr>
          <w:rFonts w:hint="eastAsia" w:ascii="仿宋_GB2312" w:hAnsi="仿宋_GB2312" w:eastAsia="仿宋_GB2312" w:cs="仿宋_GB2312"/>
          <w:kern w:val="2"/>
          <w:sz w:val="32"/>
          <w:szCs w:val="32"/>
          <w:lang w:val="en-US" w:eastAsia="zh-CN"/>
        </w:rPr>
        <w:t>97</w:t>
      </w:r>
      <w:r>
        <w:rPr>
          <w:rFonts w:hint="eastAsia" w:ascii="仿宋_GB2312" w:hAnsi="仿宋_GB2312" w:eastAsia="仿宋_GB2312" w:cs="仿宋_GB2312"/>
          <w:kern w:val="2"/>
          <w:sz w:val="32"/>
          <w:szCs w:val="32"/>
        </w:rPr>
        <w:t>人，其中行政编制8</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人，事业编制</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人，机关后勤服务中心聘用人员控制数1人。编外在职实有人数1人，202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底，实有在职在编人数8</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人，其中行政编制人员</w:t>
      </w:r>
      <w:r>
        <w:rPr>
          <w:rFonts w:hint="eastAsia" w:ascii="仿宋_GB2312" w:hAnsi="仿宋_GB2312" w:eastAsia="仿宋_GB2312" w:cs="仿宋_GB2312"/>
          <w:kern w:val="2"/>
          <w:sz w:val="32"/>
          <w:szCs w:val="32"/>
          <w:lang w:val="en-US" w:eastAsia="zh-CN"/>
        </w:rPr>
        <w:t>82</w:t>
      </w:r>
      <w:r>
        <w:rPr>
          <w:rFonts w:hint="eastAsia" w:ascii="仿宋_GB2312" w:hAnsi="仿宋_GB2312" w:eastAsia="仿宋_GB2312" w:cs="仿宋_GB2312"/>
          <w:kern w:val="2"/>
          <w:sz w:val="32"/>
          <w:szCs w:val="32"/>
        </w:rPr>
        <w:t>人，机关后勤人员1人，事业编2人，遗属人员</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人，独生子女人数</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highlight w:val="none"/>
          <w:lang w:val="en-US" w:eastAsia="zh-CN"/>
        </w:rPr>
        <w:sectPr>
          <w:footerReference r:id="rId5" w:type="default"/>
          <w:pgSz w:w="11906" w:h="16838"/>
          <w:pgMar w:top="1984" w:right="1417" w:bottom="1417" w:left="1417" w:header="851" w:footer="992" w:gutter="0"/>
          <w:cols w:space="0" w:num="1"/>
          <w:rtlGutter w:val="0"/>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tbl>
      <w:tblPr>
        <w:tblStyle w:val="7"/>
        <w:tblW w:w="13940" w:type="dxa"/>
        <w:tblInd w:w="96" w:type="dxa"/>
        <w:tblLayout w:type="fixed"/>
        <w:tblCellMar>
          <w:top w:w="0" w:type="dxa"/>
          <w:left w:w="108" w:type="dxa"/>
          <w:bottom w:w="0" w:type="dxa"/>
          <w:right w:w="108" w:type="dxa"/>
        </w:tblCellMar>
      </w:tblPr>
      <w:tblGrid>
        <w:gridCol w:w="3129"/>
        <w:gridCol w:w="1807"/>
        <w:gridCol w:w="2231"/>
        <w:gridCol w:w="3327"/>
        <w:gridCol w:w="1544"/>
        <w:gridCol w:w="1902"/>
      </w:tblGrid>
      <w:tr>
        <w:tblPrEx>
          <w:tblCellMar>
            <w:top w:w="0" w:type="dxa"/>
            <w:left w:w="108" w:type="dxa"/>
            <w:bottom w:w="0" w:type="dxa"/>
            <w:right w:w="108" w:type="dxa"/>
          </w:tblCellMar>
        </w:tblPrEx>
        <w:trPr>
          <w:trHeight w:val="621"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1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2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4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332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44"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1730.07</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1254.93</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90"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132.32</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100.25</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242.57</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1730.07</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1730.07</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1730.07</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1730.07</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4341" w:type="dxa"/>
        <w:tblInd w:w="-285" w:type="dxa"/>
        <w:tblLayout w:type="fixed"/>
        <w:tblCellMar>
          <w:top w:w="0" w:type="dxa"/>
          <w:left w:w="108" w:type="dxa"/>
          <w:bottom w:w="0" w:type="dxa"/>
          <w:right w:w="108" w:type="dxa"/>
        </w:tblCellMar>
      </w:tblPr>
      <w:tblGrid>
        <w:gridCol w:w="1410"/>
        <w:gridCol w:w="1933"/>
        <w:gridCol w:w="236"/>
        <w:gridCol w:w="236"/>
        <w:gridCol w:w="325"/>
        <w:gridCol w:w="1719"/>
        <w:gridCol w:w="1836"/>
        <w:gridCol w:w="990"/>
        <w:gridCol w:w="1467"/>
        <w:gridCol w:w="1480"/>
        <w:gridCol w:w="1440"/>
        <w:gridCol w:w="1269"/>
      </w:tblGrid>
      <w:tr>
        <w:tblPrEx>
          <w:tblCellMar>
            <w:top w:w="0" w:type="dxa"/>
            <w:left w:w="108" w:type="dxa"/>
            <w:bottom w:w="0" w:type="dxa"/>
            <w:right w:w="108" w:type="dxa"/>
          </w:tblCellMar>
        </w:tblPrEx>
        <w:trPr>
          <w:trHeight w:val="471" w:hRule="atLeast"/>
        </w:trPr>
        <w:tc>
          <w:tcPr>
            <w:tcW w:w="14341"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334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695"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99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1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7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8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73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7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18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3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3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1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401" w:hRule="atLeast"/>
        </w:trPr>
        <w:tc>
          <w:tcPr>
            <w:tcW w:w="41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1730.07</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2011101</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1172.11</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1172.11</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2011103</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2011105</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派驻派出机构</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4.85</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4.85</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2011106</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巡视工作</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19</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2011199</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16.47</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16.47</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132.32</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132.32</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100.25</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100.25</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54"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242.57</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242.57</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41"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4166" w:type="dxa"/>
        <w:tblInd w:w="-90" w:type="dxa"/>
        <w:tblLayout w:type="fixed"/>
        <w:tblCellMar>
          <w:top w:w="0" w:type="dxa"/>
          <w:left w:w="108" w:type="dxa"/>
          <w:bottom w:w="0" w:type="dxa"/>
          <w:right w:w="108" w:type="dxa"/>
        </w:tblCellMar>
      </w:tblPr>
      <w:tblGrid>
        <w:gridCol w:w="1328"/>
        <w:gridCol w:w="240"/>
        <w:gridCol w:w="300"/>
        <w:gridCol w:w="2032"/>
        <w:gridCol w:w="181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4166"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32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3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1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9157" w:type="dxa"/>
            <w:gridSpan w:val="7"/>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5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3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5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3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5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3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353" w:hRule="atLeast"/>
        </w:trPr>
        <w:tc>
          <w:tcPr>
            <w:tcW w:w="39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1418.48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311.59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2011101</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1172.11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926.87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245.24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2011103</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2011105</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派驻派出机构</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2011106</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巡视工作</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2011199</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132.32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132.32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100.25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100.25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242.57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242.57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4166" w:type="dxa"/>
            <w:gridSpan w:val="10"/>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7"/>
        <w:tblpPr w:leftFromText="180" w:rightFromText="180" w:vertAnchor="text" w:horzAnchor="page" w:tblpX="481" w:tblpY="49"/>
        <w:tblOverlap w:val="never"/>
        <w:tblW w:w="5319" w:type="pct"/>
        <w:tblInd w:w="0" w:type="dxa"/>
        <w:tblLayout w:type="fixed"/>
        <w:tblCellMar>
          <w:top w:w="0" w:type="dxa"/>
          <w:left w:w="108" w:type="dxa"/>
          <w:bottom w:w="0" w:type="dxa"/>
          <w:right w:w="108" w:type="dxa"/>
        </w:tblCellMar>
      </w:tblPr>
      <w:tblGrid>
        <w:gridCol w:w="3217"/>
        <w:gridCol w:w="443"/>
        <w:gridCol w:w="1649"/>
        <w:gridCol w:w="2971"/>
        <w:gridCol w:w="615"/>
        <w:gridCol w:w="1020"/>
        <w:gridCol w:w="1468"/>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106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28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48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7"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76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239"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10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5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9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3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5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391" w:hRule="atLeast"/>
        </w:trPr>
        <w:tc>
          <w:tcPr>
            <w:tcW w:w="10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1254.93</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1254.93</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132.32</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132.32</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100.25</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100.25</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242.57</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242.57</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1730.07</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1730.07</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1730.07</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438" w:hRule="atLeast"/>
        </w:trPr>
        <w:tc>
          <w:tcPr>
            <w:tcW w:w="4372"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27"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4256" w:type="dxa"/>
        <w:tblInd w:w="-180" w:type="dxa"/>
        <w:tblLayout w:type="fixed"/>
        <w:tblCellMar>
          <w:top w:w="0" w:type="dxa"/>
          <w:left w:w="108" w:type="dxa"/>
          <w:bottom w:w="0" w:type="dxa"/>
          <w:right w:w="108" w:type="dxa"/>
        </w:tblCellMar>
      </w:tblPr>
      <w:tblGrid>
        <w:gridCol w:w="2287"/>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4256"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55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8260"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508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2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2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22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508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508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1730.07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1418.48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311.59</w:t>
            </w:r>
          </w:p>
        </w:tc>
      </w:tr>
      <w:tr>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1172.11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926.87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245.24</w:t>
            </w:r>
          </w:p>
        </w:tc>
      </w:tr>
      <w:tr>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2011105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派驻派出机构</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4.85</w:t>
            </w:r>
          </w:p>
        </w:tc>
      </w:tr>
      <w:tr>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巡视工作</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r>
      <w:tr>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w:t>
            </w:r>
          </w:p>
        </w:tc>
      </w:tr>
      <w:tr>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132.32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132.32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100.25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100.25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242.57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242.57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4256"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916"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1315.20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61.46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bookmarkStart w:id="2" w:name="OLE_LINK5" w:colFirst="2" w:colLast="2"/>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372.57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4.20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287.96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0.44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341.13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15.30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132.32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11.87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54.14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0.69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100.25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bookmarkEnd w:id="2"/>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41.83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0.44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26.76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3.22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17.64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14.32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bookmarkEnd w:id="0"/>
            <w:bookmarkEnd w:id="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1357.02</w:t>
            </w:r>
          </w:p>
        </w:tc>
        <w:tc>
          <w:tcPr>
            <w:tcW w:w="3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61.46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val="en-US" w:eastAsia="zh-CN"/>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
              </w:rPr>
              <w:t>本部门2022年度没有政府性基金预算财政拨款收入，也没有政府性基金预算财政拨款安排的支出，故本表无数据。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注：本表反映部门本年度国有资本经营预算财政拨款支出情</w:t>
      </w:r>
      <w:r>
        <w:rPr>
          <w:rFonts w:hint="eastAsia" w:ascii="宋体" w:hAnsi="宋体" w:eastAsia="宋体" w:cs="宋体"/>
          <w:color w:val="000000"/>
          <w:kern w:val="0"/>
          <w:sz w:val="22"/>
          <w:szCs w:val="22"/>
          <w:highlight w:val="none"/>
          <w:lang w:eastAsia="zh-CN" w:bidi="ar"/>
        </w:rPr>
        <w:t>。</w:t>
      </w:r>
    </w:p>
    <w:p>
      <w:pPr>
        <w:keepNext w:val="0"/>
        <w:keepLines w:val="0"/>
        <w:widowControl/>
        <w:suppressLineNumbers w:val="0"/>
        <w:spacing w:before="0" w:beforeAutospacing="0" w:after="0" w:afterAutospacing="0"/>
        <w:ind w:left="0" w:right="0" w:firstLine="640" w:firstLineChars="200"/>
        <w:jc w:val="left"/>
        <w:textAlignment w:val="center"/>
        <w:rPr>
          <w:rFonts w:hint="eastAsia" w:ascii="宋体" w:hAnsi="宋体" w:eastAsia="宋体" w:cs="宋体"/>
          <w:color w:val="000000"/>
          <w:kern w:val="0"/>
          <w:sz w:val="22"/>
          <w:szCs w:val="22"/>
          <w:highlight w:val="none"/>
          <w:lang w:bidi="ar"/>
        </w:rPr>
      </w:pPr>
      <w:r>
        <w:rPr>
          <w:rFonts w:hint="eastAsia" w:ascii="仿宋_GB2312" w:hAnsi="仿宋_GB2312" w:eastAsia="仿宋_GB2312" w:cs="仿宋_GB2312"/>
          <w:color w:val="auto"/>
          <w:kern w:val="2"/>
          <w:sz w:val="32"/>
          <w:szCs w:val="32"/>
          <w:lang w:val="en-US" w:eastAsia="zh-CN" w:bidi="ar"/>
        </w:rPr>
        <w:t>本部门2022年度没有国有资本经营预算财政拨款收入，也没有国有资本经营预算财政拨款安排的支出，故本表无数据。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1107"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49.07</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26.46</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18.58</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4.03</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49.07</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26.46</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highlight w:val="none"/>
              </w:rPr>
            </w:pPr>
            <w:r>
              <w:rPr>
                <w:rFonts w:hint="eastAsia" w:ascii="宋体" w:hAnsi="宋体" w:eastAsia="宋体" w:cs="宋体"/>
                <w:color w:val="000000"/>
                <w:sz w:val="22"/>
                <w:szCs w:val="22"/>
                <w:highlight w:val="none"/>
                <w:lang w:val="en-US" w:eastAsia="zh-CN"/>
              </w:rPr>
              <w:t>18.58</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lang w:val="en-US" w:eastAsia="zh-CN"/>
              </w:rPr>
            </w:pPr>
            <w:r>
              <w:rPr>
                <w:rFonts w:hint="eastAsia" w:ascii="宋体" w:hAnsi="宋体" w:eastAsia="宋体" w:cs="宋体"/>
                <w:color w:val="000000"/>
                <w:sz w:val="22"/>
                <w:szCs w:val="22"/>
                <w:highlight w:val="none"/>
                <w:lang w:val="en-US" w:eastAsia="zh-CN"/>
              </w:rPr>
              <w:t>4.03</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line="620" w:lineRule="exact"/>
        <w:jc w:val="center"/>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keepNext w:val="0"/>
        <w:keepLines w:val="0"/>
        <w:pageBreakBefore w:val="0"/>
        <w:widowControl w:val="0"/>
        <w:kinsoku/>
        <w:wordWrap/>
        <w:overflowPunct/>
        <w:topLinePunct w:val="0"/>
        <w:autoSpaceDE/>
        <w:autoSpaceDN/>
        <w:bidi w:val="0"/>
        <w:adjustRightInd/>
        <w:snapToGrid/>
        <w:spacing w:before="157" w:beforeLines="50" w:line="6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keepNext w:val="0"/>
        <w:keepLines w:val="0"/>
        <w:pageBreakBefore w:val="0"/>
        <w:widowControl w:val="0"/>
        <w:kinsoku/>
        <w:wordWrap/>
        <w:overflowPunct/>
        <w:topLinePunct w:val="0"/>
        <w:bidi w:val="0"/>
        <w:snapToGrid/>
        <w:spacing w:line="64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szCs w:val="32"/>
          <w:highlight w:val="none"/>
          <w:lang w:val="en-US" w:eastAsia="zh-CN"/>
        </w:rPr>
        <w:t>1730.07</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增加192.18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增长12.50</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1730.07</w:t>
      </w:r>
      <w:r>
        <w:rPr>
          <w:rFonts w:hint="eastAsia" w:ascii="仿宋" w:hAnsi="仿宋" w:eastAsia="仿宋" w:cs="仿宋"/>
          <w:sz w:val="32"/>
          <w:szCs w:val="32"/>
          <w:highlight w:val="none"/>
        </w:rPr>
        <w:t>万元。收入具体情况如下。</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1.一般公共预算财政拨款收入1730.07万元，为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szCs w:val="32"/>
          <w:highlight w:val="none"/>
          <w:lang w:val="en-US" w:eastAsia="zh-CN"/>
        </w:rPr>
        <w:t>增加192.18</w:t>
      </w:r>
      <w:r>
        <w:rPr>
          <w:rFonts w:hint="eastAsia" w:ascii="仿宋" w:hAnsi="仿宋" w:eastAsia="仿宋" w:cs="仿宋"/>
          <w:sz w:val="32"/>
          <w:szCs w:val="32"/>
          <w:highlight w:val="none"/>
        </w:rPr>
        <w:t>万元</w:t>
      </w:r>
      <w:r>
        <w:rPr>
          <w:rFonts w:hint="eastAsia" w:ascii="仿宋" w:hAnsi="仿宋" w:eastAsia="仿宋" w:cs="仿宋"/>
          <w:kern w:val="2"/>
          <w:sz w:val="32"/>
          <w:szCs w:val="32"/>
          <w:highlight w:val="none"/>
          <w:lang w:val="en-US" w:eastAsia="zh-CN" w:bidi="ar"/>
        </w:rPr>
        <w:t>，</w:t>
      </w:r>
      <w:r>
        <w:rPr>
          <w:rFonts w:hint="eastAsia" w:ascii="仿宋" w:hAnsi="仿宋" w:eastAsia="仿宋" w:cs="仿宋"/>
          <w:sz w:val="32"/>
          <w:szCs w:val="32"/>
          <w:highlight w:val="none"/>
          <w:lang w:val="en-US" w:eastAsia="zh-CN"/>
        </w:rPr>
        <w:t>增长12.50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rPr>
        <w:t>本年度有在职在编人员增加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工资增资及增加了人员基本养老保险缴费、住房公积金</w:t>
      </w:r>
      <w:r>
        <w:rPr>
          <w:rFonts w:hint="eastAsia" w:ascii="仿宋_GB2312" w:hAnsi="仿宋_GB2312" w:eastAsia="仿宋_GB2312" w:cs="仿宋_GB2312"/>
          <w:kern w:val="0"/>
          <w:sz w:val="32"/>
          <w:szCs w:val="32"/>
          <w:lang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640" w:lineRule="exact"/>
        <w:ind w:left="0" w:right="0"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pPr>
        <w:keepNext w:val="0"/>
        <w:keepLines w:val="0"/>
        <w:pageBreakBefore w:val="0"/>
        <w:widowControl w:val="0"/>
        <w:suppressLineNumbers w:val="0"/>
        <w:kinsoku/>
        <w:wordWrap/>
        <w:overflowPunct/>
        <w:topLinePunct w:val="0"/>
        <w:bidi w:val="0"/>
        <w:snapToGrid/>
        <w:spacing w:before="0" w:beforeAutospacing="0" w:after="0" w:afterAutospacing="0" w:line="640" w:lineRule="exact"/>
        <w:ind w:left="0" w:right="0"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pPr>
        <w:keepNext w:val="0"/>
        <w:keepLines w:val="0"/>
        <w:pageBreakBefore w:val="0"/>
        <w:widowControl w:val="0"/>
        <w:suppressLineNumbers w:val="0"/>
        <w:kinsoku/>
        <w:wordWrap/>
        <w:overflowPunct/>
        <w:topLinePunct w:val="0"/>
        <w:bidi w:val="0"/>
        <w:snapToGrid/>
        <w:spacing w:before="0" w:beforeAutospacing="0" w:after="0" w:afterAutospacing="0" w:line="640" w:lineRule="exact"/>
        <w:ind w:left="0" w:right="0"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pPr>
        <w:keepNext w:val="0"/>
        <w:keepLines w:val="0"/>
        <w:pageBreakBefore w:val="0"/>
        <w:widowControl w:val="0"/>
        <w:suppressLineNumbers w:val="0"/>
        <w:kinsoku/>
        <w:wordWrap/>
        <w:overflowPunct/>
        <w:topLinePunct w:val="0"/>
        <w:bidi w:val="0"/>
        <w:snapToGrid/>
        <w:spacing w:before="0" w:beforeAutospacing="0" w:after="0" w:afterAutospacing="0" w:line="640" w:lineRule="exact"/>
        <w:ind w:left="0" w:right="0" w:firstLine="640" w:firstLineChars="200"/>
        <w:jc w:val="left"/>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pPr>
        <w:keepNext w:val="0"/>
        <w:keepLines w:val="0"/>
        <w:pageBreakBefore w:val="0"/>
        <w:widowControl w:val="0"/>
        <w:suppressLineNumbers w:val="0"/>
        <w:kinsoku/>
        <w:wordWrap/>
        <w:overflowPunct/>
        <w:topLinePunct w:val="0"/>
        <w:bidi w:val="0"/>
        <w:snapToGrid/>
        <w:spacing w:before="0" w:beforeAutospacing="0" w:after="0" w:afterAutospacing="0" w:line="640" w:lineRule="exact"/>
        <w:ind w:left="0" w:right="0"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0.00万,较2021年度决算数</w:t>
      </w:r>
      <w:r>
        <w:rPr>
          <w:rFonts w:hint="eastAsia" w:ascii="仿宋" w:hAnsi="仿宋" w:eastAsia="仿宋" w:cs="仿宋"/>
          <w:sz w:val="32"/>
          <w:u w:color="auto"/>
          <w:lang w:val="en-US" w:eastAsia="zh-CN"/>
        </w:rPr>
        <w:t>无变化。</w:t>
      </w:r>
    </w:p>
    <w:p>
      <w:pPr>
        <w:keepNext w:val="0"/>
        <w:keepLines w:val="0"/>
        <w:pageBreakBefore w:val="0"/>
        <w:widowControl w:val="0"/>
        <w:suppressLineNumbers w:val="0"/>
        <w:kinsoku/>
        <w:wordWrap/>
        <w:overflowPunct/>
        <w:topLinePunct w:val="0"/>
        <w:bidi w:val="0"/>
        <w:snapToGrid/>
        <w:spacing w:before="0" w:beforeAutospacing="0" w:after="0" w:afterAutospacing="0" w:line="640" w:lineRule="exact"/>
        <w:ind w:left="0" w:right="0"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pPr>
        <w:keepNext w:val="0"/>
        <w:keepLines w:val="0"/>
        <w:pageBreakBefore w:val="0"/>
        <w:widowControl w:val="0"/>
        <w:suppressLineNumbers w:val="0"/>
        <w:kinsoku/>
        <w:wordWrap/>
        <w:overflowPunct/>
        <w:topLinePunct w:val="0"/>
        <w:bidi w:val="0"/>
        <w:snapToGrid/>
        <w:spacing w:before="0" w:beforeAutospacing="0" w:after="0" w:afterAutospacing="0" w:line="640" w:lineRule="exact"/>
        <w:ind w:left="0" w:right="0"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pPr>
        <w:keepNext w:val="0"/>
        <w:keepLines w:val="0"/>
        <w:pageBreakBefore w:val="0"/>
        <w:widowControl w:val="0"/>
        <w:suppressLineNumbers w:val="0"/>
        <w:kinsoku/>
        <w:wordWrap/>
        <w:overflowPunct/>
        <w:topLinePunct w:val="0"/>
        <w:bidi w:val="0"/>
        <w:snapToGrid/>
        <w:spacing w:before="0" w:beforeAutospacing="0" w:after="0" w:afterAutospacing="0" w:line="640" w:lineRule="exact"/>
        <w:ind w:left="0" w:right="0" w:firstLine="640" w:firstLineChars="200"/>
        <w:jc w:val="left"/>
        <w:textAlignment w:val="auto"/>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pPr>
        <w:keepNext w:val="0"/>
        <w:keepLines w:val="0"/>
        <w:pageBreakBefore w:val="0"/>
        <w:widowControl w:val="0"/>
        <w:suppressLineNumbers w:val="0"/>
        <w:kinsoku/>
        <w:wordWrap/>
        <w:overflowPunct/>
        <w:topLinePunct w:val="0"/>
        <w:bidi w:val="0"/>
        <w:snapToGrid/>
        <w:spacing w:before="0" w:beforeAutospacing="0" w:after="0" w:afterAutospacing="0" w:line="640" w:lineRule="exact"/>
        <w:ind w:left="0" w:right="0" w:firstLine="640" w:firstLineChars="200"/>
        <w:jc w:val="left"/>
        <w:textAlignment w:val="auto"/>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（二）本部门2022年</w:t>
      </w:r>
      <w:r>
        <w:rPr>
          <w:rFonts w:hint="eastAsia" w:ascii="仿宋" w:hAnsi="仿宋" w:eastAsia="仿宋" w:cs="仿宋"/>
          <w:kern w:val="2"/>
          <w:sz w:val="32"/>
          <w:szCs w:val="32"/>
          <w:highlight w:val="none"/>
          <w:lang w:val="en-US" w:eastAsia="zh-CN" w:bidi="ar"/>
        </w:rPr>
        <w:t>度总支出1730.07万元，其中本年支出1730.07万元，</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增加192.18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增长12.50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支出具体情况如下：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_GB2312" w:hAnsi="仿宋_GB2312" w:eastAsia="仿宋_GB2312" w:cs="仿宋_GB2312"/>
          <w:kern w:val="0"/>
          <w:sz w:val="32"/>
          <w:szCs w:val="32"/>
        </w:rPr>
        <w:t>一般公共服务支出（</w:t>
      </w:r>
      <w:r>
        <w:rPr>
          <w:rFonts w:hint="eastAsia" w:ascii="仿宋_GB2312" w:hAnsi="仿宋_GB2312" w:eastAsia="仿宋_GB2312" w:cs="仿宋_GB2312"/>
          <w:kern w:val="0"/>
          <w:sz w:val="32"/>
          <w:szCs w:val="32"/>
          <w:lang w:val="en-US" w:eastAsia="zh-CN"/>
        </w:rPr>
        <w:t>201</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1254.93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主要用于本部门为保证日常运转发生的基本支出和为完成各项工作任务、保障</w:t>
      </w:r>
      <w:r>
        <w:rPr>
          <w:rFonts w:hint="eastAsia" w:ascii="仿宋_GB2312" w:hAnsi="仿宋_GB2312" w:eastAsia="仿宋_GB2312" w:cs="仿宋_GB2312"/>
          <w:kern w:val="0"/>
          <w:sz w:val="32"/>
          <w:szCs w:val="32"/>
        </w:rPr>
        <w:t>单位事业</w:t>
      </w:r>
      <w:r>
        <w:rPr>
          <w:rFonts w:hint="eastAsia" w:ascii="仿宋_GB2312" w:hAnsi="仿宋_GB2312" w:eastAsia="仿宋_GB2312" w:cs="仿宋_GB2312"/>
          <w:sz w:val="32"/>
          <w:szCs w:val="32"/>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增加206.68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增长19.72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本年度有在职在编人员增加</w:t>
      </w:r>
      <w:r>
        <w:rPr>
          <w:rFonts w:hint="eastAsia" w:ascii="仿宋_GB2312" w:hAnsi="仿宋_GB2312" w:eastAsia="仿宋_GB2312" w:cs="仿宋_GB2312"/>
          <w:kern w:val="0"/>
          <w:sz w:val="32"/>
          <w:szCs w:val="32"/>
          <w:lang w:val="en-US" w:eastAsia="zh-CN"/>
        </w:rPr>
        <w:t>及</w:t>
      </w:r>
      <w:r>
        <w:rPr>
          <w:rFonts w:hint="eastAsia" w:ascii="仿宋_GB2312" w:hAnsi="仿宋_GB2312" w:eastAsia="仿宋_GB2312" w:cs="仿宋_GB2312"/>
          <w:kern w:val="0"/>
          <w:sz w:val="32"/>
          <w:szCs w:val="32"/>
        </w:rPr>
        <w:t>工资增资</w:t>
      </w:r>
      <w:r>
        <w:rPr>
          <w:rFonts w:hint="eastAsia" w:ascii="仿宋_GB2312" w:hAnsi="仿宋_GB2312" w:eastAsia="仿宋_GB2312" w:cs="仿宋_GB2312"/>
          <w:kern w:val="0"/>
          <w:sz w:val="32"/>
          <w:szCs w:val="32"/>
          <w:lang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132.32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w:t>
      </w:r>
      <w:r>
        <w:rPr>
          <w:rFonts w:hint="eastAsia" w:ascii="仿宋_GB2312" w:hAnsi="仿宋_GB2312" w:eastAsia="仿宋_GB2312" w:cs="仿宋_GB2312"/>
          <w:kern w:val="0"/>
          <w:sz w:val="32"/>
          <w:szCs w:val="32"/>
        </w:rPr>
        <w:t>在职</w:t>
      </w:r>
      <w:r>
        <w:rPr>
          <w:rFonts w:hint="eastAsia" w:ascii="仿宋_GB2312" w:hAnsi="仿宋_GB2312" w:eastAsia="仿宋_GB2312" w:cs="仿宋_GB2312"/>
          <w:kern w:val="0"/>
          <w:sz w:val="32"/>
          <w:szCs w:val="32"/>
          <w:lang w:val="en-US" w:eastAsia="zh-CN"/>
        </w:rPr>
        <w:t>在编</w:t>
      </w:r>
      <w:r>
        <w:rPr>
          <w:rFonts w:hint="eastAsia" w:ascii="仿宋_GB2312" w:hAnsi="仿宋_GB2312" w:eastAsia="仿宋_GB2312" w:cs="仿宋_GB2312"/>
          <w:kern w:val="0"/>
          <w:sz w:val="32"/>
          <w:szCs w:val="32"/>
        </w:rPr>
        <w:t>职工基本养老保险费。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增加10.91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增长8.99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本年度在职在编人员有增加及养老保险基数调整导致。</w:t>
      </w:r>
    </w:p>
    <w:p>
      <w:pPr>
        <w:keepNext w:val="0"/>
        <w:keepLines w:val="0"/>
        <w:pageBreakBefore w:val="0"/>
        <w:widowControl w:val="0"/>
        <w:suppressLineNumbers w:val="0"/>
        <w:kinsoku/>
        <w:wordWrap/>
        <w:overflowPunct/>
        <w:topLinePunct w:val="0"/>
        <w:bidi w:val="0"/>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100.25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按照国家政策规定</w:t>
      </w:r>
      <w:r>
        <w:rPr>
          <w:rFonts w:hint="eastAsia" w:ascii="仿宋_GB2312" w:hAnsi="仿宋_GB2312" w:eastAsia="仿宋_GB2312" w:cs="仿宋_GB2312"/>
          <w:kern w:val="0"/>
          <w:sz w:val="32"/>
          <w:szCs w:val="32"/>
          <w:lang w:val="en-US" w:eastAsia="zh-CN"/>
        </w:rPr>
        <w:t>为在职在编职工缴纳</w:t>
      </w:r>
      <w:r>
        <w:rPr>
          <w:rFonts w:hint="eastAsia" w:ascii="仿宋_GB2312" w:hAnsi="仿宋_GB2312" w:eastAsia="仿宋_GB2312" w:cs="仿宋_GB2312"/>
          <w:kern w:val="0"/>
          <w:sz w:val="32"/>
          <w:szCs w:val="32"/>
        </w:rPr>
        <w:t>的住房公积金支出</w:t>
      </w:r>
      <w:r>
        <w:rPr>
          <w:rFonts w:hint="eastAsia" w:ascii="仿宋_GB2312" w:hAnsi="仿宋_GB2312" w:eastAsia="仿宋_GB2312" w:cs="仿宋_GB2312"/>
          <w:kern w:val="0"/>
          <w:sz w:val="32"/>
          <w:szCs w:val="32"/>
          <w:lang w:eastAsia="zh-CN"/>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增</w:t>
      </w:r>
      <w:r>
        <w:rPr>
          <w:rFonts w:hint="eastAsia" w:ascii="仿宋" w:hAnsi="仿宋" w:eastAsia="仿宋" w:cs="仿宋"/>
          <w:sz w:val="32"/>
          <w:szCs w:val="32"/>
          <w:highlight w:val="none"/>
          <w:lang w:val="en-US" w:eastAsia="zh-CN" w:bidi="ar"/>
        </w:rPr>
        <w:t>加9.43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增长10.38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本年度在职在编职工有增加及</w:t>
      </w:r>
      <w:r>
        <w:rPr>
          <w:rFonts w:hint="eastAsia" w:ascii="仿宋_GB2312" w:hAnsi="仿宋_GB2312" w:eastAsia="仿宋_GB2312" w:cs="仿宋_GB2312"/>
          <w:kern w:val="0"/>
          <w:sz w:val="32"/>
          <w:szCs w:val="32"/>
        </w:rPr>
        <w:t>住房</w:t>
      </w:r>
      <w:r>
        <w:rPr>
          <w:rFonts w:hint="eastAsia" w:ascii="仿宋_GB2312" w:hAnsi="仿宋_GB2312" w:eastAsia="仿宋_GB2312" w:cs="仿宋_GB2312"/>
          <w:kern w:val="0"/>
          <w:sz w:val="32"/>
          <w:szCs w:val="32"/>
          <w:lang w:val="en-US" w:eastAsia="zh-CN"/>
        </w:rPr>
        <w:t>公积金基数调整导致。</w:t>
      </w:r>
    </w:p>
    <w:p>
      <w:pPr>
        <w:keepNext w:val="0"/>
        <w:keepLines w:val="0"/>
        <w:pageBreakBefore w:val="0"/>
        <w:widowControl w:val="0"/>
        <w:suppressLineNumbers w:val="0"/>
        <w:kinsoku/>
        <w:wordWrap/>
        <w:overflowPunct/>
        <w:topLinePunct w:val="0"/>
        <w:bidi w:val="0"/>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其他支出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229</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242.57</w:t>
      </w:r>
      <w:r>
        <w:rPr>
          <w:rFonts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上年在职职工</w:t>
      </w:r>
      <w:r>
        <w:rPr>
          <w:rFonts w:hint="eastAsia" w:ascii="仿宋_GB2312" w:hAnsi="仿宋_GB2312" w:eastAsia="仿宋_GB2312" w:cs="仿宋_GB2312"/>
          <w:kern w:val="0"/>
          <w:sz w:val="32"/>
          <w:szCs w:val="32"/>
          <w:lang w:val="en-US" w:eastAsia="zh-CN"/>
        </w:rPr>
        <w:t>奖励性补贴</w:t>
      </w:r>
      <w:r>
        <w:rPr>
          <w:rFonts w:hint="eastAsia" w:ascii="仿宋_GB2312" w:hAnsi="仿宋_GB2312" w:eastAsia="仿宋_GB2312" w:cs="仿宋_GB2312"/>
          <w:kern w:val="0"/>
          <w:sz w:val="32"/>
          <w:szCs w:val="32"/>
        </w:rPr>
        <w:t>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减少32.84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下降11.92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主要原因是：人员的变动及奖励性补贴发放政策的调整。</w:t>
      </w:r>
    </w:p>
    <w:p>
      <w:pPr>
        <w:keepNext w:val="0"/>
        <w:keepLines w:val="0"/>
        <w:pageBreakBefore w:val="0"/>
        <w:widowControl w:val="0"/>
        <w:suppressLineNumbers w:val="0"/>
        <w:kinsoku/>
        <w:wordWrap/>
        <w:overflowPunct/>
        <w:topLinePunct w:val="0"/>
        <w:bidi w:val="0"/>
        <w:snapToGrid/>
        <w:spacing w:before="0" w:beforeAutospacing="0" w:after="0" w:afterAutospacing="0" w:line="600" w:lineRule="exact"/>
        <w:ind w:right="0" w:firstLine="620" w:firstLineChars="200"/>
        <w:jc w:val="left"/>
        <w:textAlignment w:val="auto"/>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无变化。</w:t>
      </w:r>
    </w:p>
    <w:p>
      <w:pPr>
        <w:keepNext w:val="0"/>
        <w:keepLines w:val="0"/>
        <w:pageBreakBefore w:val="0"/>
        <w:widowControl w:val="0"/>
        <w:suppressLineNumbers w:val="0"/>
        <w:kinsoku/>
        <w:wordWrap/>
        <w:overflowPunct/>
        <w:topLinePunct w:val="0"/>
        <w:bidi w:val="0"/>
        <w:snapToGrid/>
        <w:spacing w:before="0" w:beforeAutospacing="0" w:after="0" w:afterAutospacing="0" w:line="600" w:lineRule="exact"/>
        <w:ind w:right="0"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default" w:ascii="仿宋" w:hAnsi="仿宋" w:eastAsia="仿宋" w:cs="仿宋"/>
          <w:color w:val="000000" w:themeColor="text1"/>
          <w:sz w:val="32"/>
          <w:szCs w:val="32"/>
          <w:highlight w:val="none"/>
          <w14:textFill>
            <w14:solidFill>
              <w14:schemeClr w14:val="tx1"/>
            </w14:solidFill>
          </w14:textFill>
        </w:rPr>
        <w:t>较202</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default" w:ascii="仿宋" w:hAnsi="仿宋" w:eastAsia="仿宋" w:cs="仿宋"/>
          <w:color w:val="000000" w:themeColor="text1"/>
          <w:sz w:val="32"/>
          <w:szCs w:val="32"/>
          <w:highlight w:val="none"/>
          <w14:textFill>
            <w14:solidFill>
              <w14:schemeClr w14:val="tx1"/>
            </w14:solidFill>
          </w14:textFill>
        </w:rPr>
        <w:t>年决算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无变化。</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2022年度一般公共预算财政拨款支出</w:t>
      </w:r>
      <w:r>
        <w:rPr>
          <w:rFonts w:hint="eastAsia" w:ascii="仿宋" w:hAnsi="仿宋" w:eastAsia="仿宋" w:cs="仿宋"/>
          <w:kern w:val="2"/>
          <w:sz w:val="32"/>
          <w:szCs w:val="32"/>
          <w:highlight w:val="none"/>
          <w:lang w:val="en-US" w:eastAsia="zh-CN" w:bidi="ar"/>
        </w:rPr>
        <w:t>1730.07</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增加192.18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增长12.50</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1418.49</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311.58</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sz w:val="32"/>
          <w:szCs w:val="32"/>
          <w:highlight w:val="none"/>
        </w:rPr>
      </w:pPr>
      <w:r>
        <w:rPr>
          <w:rFonts w:hint="eastAsia" w:ascii="仿宋" w:hAnsi="仿宋" w:eastAsia="仿宋" w:cs="仿宋"/>
          <w:sz w:val="32"/>
          <w:szCs w:val="32"/>
          <w:highlight w:val="none"/>
        </w:rPr>
        <w:t>2022 年度一般公共预算财政拨款支出年初预算为</w:t>
      </w:r>
      <w:bookmarkStart w:id="4" w:name="OLE_LINK2"/>
      <w:bookmarkEnd w:id="4"/>
      <w:r>
        <w:rPr>
          <w:rFonts w:ascii="仿宋" w:hAnsi="仿宋" w:eastAsia="仿宋" w:cs="仿宋"/>
          <w:sz w:val="32"/>
          <w:u w:color="auto"/>
        </w:rPr>
        <w:t>1329.08</w:t>
      </w:r>
      <w:r>
        <w:rPr>
          <w:rFonts w:hint="eastAsia" w:ascii="仿宋" w:hAnsi="仿宋" w:eastAsia="仿宋" w:cs="仿宋"/>
          <w:sz w:val="32"/>
          <w:szCs w:val="32"/>
          <w:highlight w:val="none"/>
        </w:rPr>
        <w:t>万元，支出决算为</w:t>
      </w:r>
      <w:r>
        <w:rPr>
          <w:rFonts w:ascii="仿宋" w:hAnsi="仿宋" w:eastAsia="仿宋" w:cs="仿宋"/>
          <w:sz w:val="32"/>
          <w:u w:color="auto"/>
        </w:rPr>
        <w:t>1730.07</w:t>
      </w:r>
      <w:r>
        <w:rPr>
          <w:rFonts w:hint="eastAsia" w:ascii="仿宋" w:hAnsi="仿宋" w:eastAsia="仿宋" w:cs="仿宋"/>
          <w:sz w:val="32"/>
          <w:szCs w:val="32"/>
          <w:highlight w:val="none"/>
        </w:rPr>
        <w:t>万元，完成年初预算的</w:t>
      </w:r>
      <w:r>
        <w:rPr>
          <w:rFonts w:ascii="仿宋" w:hAnsi="仿宋" w:eastAsia="仿宋" w:cs="仿宋"/>
          <w:sz w:val="32"/>
          <w:u w:color="auto"/>
        </w:rPr>
        <w:t>130.17%</w:t>
      </w:r>
      <w:r>
        <w:rPr>
          <w:rFonts w:hint="eastAsia" w:ascii="仿宋" w:hAnsi="仿宋" w:eastAsia="仿宋" w:cs="仿宋"/>
          <w:sz w:val="32"/>
          <w:szCs w:val="32"/>
          <w:highlight w:val="none"/>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420" w:firstLineChars="0"/>
        <w:jc w:val="left"/>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kern w:val="0"/>
          <w:sz w:val="32"/>
          <w:szCs w:val="32"/>
        </w:rPr>
        <w:t>一般公共服务支出（</w:t>
      </w:r>
      <w:r>
        <w:rPr>
          <w:rFonts w:hint="eastAsia" w:ascii="仿宋_GB2312" w:hAnsi="仿宋_GB2312" w:eastAsia="仿宋_GB2312" w:cs="仿宋_GB2312"/>
          <w:kern w:val="0"/>
          <w:sz w:val="32"/>
          <w:szCs w:val="32"/>
          <w:lang w:val="en-US" w:eastAsia="zh-CN"/>
        </w:rPr>
        <w:t>201</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1098.52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1254.94</w:t>
      </w:r>
      <w:r>
        <w:rPr>
          <w:rFonts w:hint="eastAsia" w:ascii="仿宋" w:hAnsi="仿宋" w:eastAsia="仿宋"/>
          <w:sz w:val="32"/>
          <w:szCs w:val="32"/>
          <w:highlight w:val="none"/>
        </w:rPr>
        <w:t>万元，完成年初预算</w:t>
      </w:r>
      <w:r>
        <w:rPr>
          <w:rFonts w:hint="eastAsia" w:ascii="仿宋_GB2312" w:hAnsi="仿宋_GB2312" w:eastAsia="仿宋_GB2312" w:cs="仿宋_GB2312"/>
          <w:kern w:val="0"/>
          <w:sz w:val="32"/>
          <w:szCs w:val="32"/>
          <w:lang w:val="en-US" w:eastAsia="zh-CN"/>
        </w:rPr>
        <w:t>的114.24%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原因是：本年度单位人员的增加、工资正常增资以及工作调整导致。</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548"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5"/>
        <w:gridCol w:w="1263"/>
        <w:gridCol w:w="994"/>
        <w:gridCol w:w="1088"/>
        <w:gridCol w:w="1050"/>
        <w:gridCol w:w="1973"/>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2011101</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938.05</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1,172.12</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124.95%</w:t>
            </w:r>
          </w:p>
        </w:tc>
        <w:tc>
          <w:tcPr>
            <w:tcW w:w="19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职工工资福利的发放以及单位的日常运转</w:t>
            </w:r>
          </w:p>
        </w:tc>
        <w:tc>
          <w:tcPr>
            <w:tcW w:w="2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本年度单位人员的增加以及工资正常增资导致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2011103</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0.00</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2.50</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250%</w:t>
            </w:r>
          </w:p>
        </w:tc>
        <w:tc>
          <w:tcPr>
            <w:tcW w:w="19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2021年底新购置车辆的入户费、保险等费用</w:t>
            </w:r>
          </w:p>
        </w:tc>
        <w:tc>
          <w:tcPr>
            <w:tcW w:w="2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车辆购置在年底，2022年度预算已经编制完成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2011105</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派驻派出机构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5.00</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4.85</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97%</w:t>
            </w:r>
          </w:p>
        </w:tc>
        <w:tc>
          <w:tcPr>
            <w:tcW w:w="19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派驻组人员的办公费及差旅费等</w:t>
            </w:r>
          </w:p>
        </w:tc>
        <w:tc>
          <w:tcPr>
            <w:tcW w:w="2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本年出差次数相对减少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2011106</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巡视工作</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19.00</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19.00</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100.00%</w:t>
            </w:r>
          </w:p>
        </w:tc>
        <w:tc>
          <w:tcPr>
            <w:tcW w:w="19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县委巡察办每年两轮的巡察开支</w:t>
            </w:r>
          </w:p>
        </w:tc>
        <w:tc>
          <w:tcPr>
            <w:tcW w:w="2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按年初计划完成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2011199</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其他纪检监察事务支出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120.00</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40.00</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33.33%</w:t>
            </w:r>
          </w:p>
        </w:tc>
        <w:tc>
          <w:tcPr>
            <w:tcW w:w="19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用于企业教育基地租金及办案支出</w:t>
            </w:r>
          </w:p>
        </w:tc>
        <w:tc>
          <w:tcPr>
            <w:tcW w:w="2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因未正式签署合同，故未支付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2012999</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16.47</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16.47</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100.00%</w:t>
            </w:r>
          </w:p>
        </w:tc>
        <w:tc>
          <w:tcPr>
            <w:tcW w:w="19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工会活动经费</w:t>
            </w:r>
          </w:p>
        </w:tc>
        <w:tc>
          <w:tcPr>
            <w:tcW w:w="2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按年初计划完成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1098.52</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1254.94</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197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p>
        </w:tc>
        <w:tc>
          <w:tcPr>
            <w:tcW w:w="2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p>
        </w:tc>
      </w:tr>
    </w:tbl>
    <w:p>
      <w:pPr>
        <w:jc w:val="both"/>
        <w:rPr>
          <w:rFonts w:ascii="仿宋" w:hAnsi="仿宋" w:eastAsia="仿宋"/>
          <w:sz w:val="32"/>
          <w:szCs w:val="32"/>
          <w:highlight w:val="none"/>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firstLineChars="0"/>
        <w:jc w:val="left"/>
        <w:textAlignment w:val="auto"/>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131.74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132.32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100.44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原因是：本年度在职在编人员有增加及养老基数</w:t>
      </w:r>
      <w:r>
        <w:rPr>
          <w:rFonts w:hint="eastAsia" w:ascii="仿宋" w:hAnsi="仿宋" w:eastAsia="仿宋"/>
          <w:color w:val="auto"/>
          <w:sz w:val="32"/>
          <w:szCs w:val="32"/>
          <w:highlight w:val="none"/>
          <w:lang w:val="en-US" w:eastAsia="zh-CN"/>
        </w:rPr>
        <w:t>调整导致</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1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01"/>
        <w:gridCol w:w="885"/>
        <w:gridCol w:w="855"/>
        <w:gridCol w:w="1065"/>
        <w:gridCol w:w="1725"/>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5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1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5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131.74</w:t>
            </w:r>
          </w:p>
        </w:tc>
        <w:tc>
          <w:tcPr>
            <w:tcW w:w="8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132.32</w:t>
            </w:r>
          </w:p>
        </w:tc>
        <w:tc>
          <w:tcPr>
            <w:tcW w:w="10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100.44%</w:t>
            </w:r>
          </w:p>
        </w:tc>
        <w:tc>
          <w:tcPr>
            <w:tcW w:w="17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0"/>
                <w:szCs w:val="20"/>
                <w:lang w:val="en-US" w:eastAsia="zh-CN"/>
              </w:rPr>
              <w:t>缴纳在职在编职工基本养老保险费</w:t>
            </w:r>
          </w:p>
        </w:tc>
        <w:tc>
          <w:tcPr>
            <w:tcW w:w="21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jc w:val="both"/>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本年度在职在编人员有增加及养老保险基数调整导致。</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5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131.74</w:t>
            </w:r>
          </w:p>
        </w:tc>
        <w:tc>
          <w:tcPr>
            <w:tcW w:w="8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132.32</w:t>
            </w:r>
          </w:p>
        </w:tc>
        <w:tc>
          <w:tcPr>
            <w:tcW w:w="10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1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320" w:firstLineChars="100"/>
        <w:jc w:val="left"/>
        <w:textAlignment w:val="auto"/>
        <w:rPr>
          <w:rFonts w:hint="eastAsia" w:ascii="仿宋" w:hAnsi="仿宋" w:eastAsia="仿宋"/>
          <w:sz w:val="32"/>
          <w:szCs w:val="32"/>
          <w:highlight w:val="none"/>
        </w:rPr>
      </w:pP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三</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98.81</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val="en-US" w:eastAsia="zh-CN" w:bidi="ar"/>
        </w:rPr>
        <w:t>100.25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101.46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kern w:val="0"/>
          <w:sz w:val="32"/>
          <w:szCs w:val="32"/>
          <w:lang w:val="en-US" w:eastAsia="zh-CN"/>
        </w:rPr>
        <w:t>本年度在职在编职工有增加及</w:t>
      </w:r>
      <w:r>
        <w:rPr>
          <w:rFonts w:hint="eastAsia" w:ascii="仿宋_GB2312" w:hAnsi="仿宋_GB2312" w:eastAsia="仿宋_GB2312" w:cs="仿宋_GB2312"/>
          <w:kern w:val="0"/>
          <w:sz w:val="32"/>
          <w:szCs w:val="32"/>
        </w:rPr>
        <w:t>住房</w:t>
      </w:r>
      <w:r>
        <w:rPr>
          <w:rFonts w:hint="eastAsia" w:ascii="仿宋_GB2312" w:hAnsi="仿宋_GB2312" w:eastAsia="仿宋_GB2312" w:cs="仿宋_GB2312"/>
          <w:kern w:val="0"/>
          <w:sz w:val="32"/>
          <w:szCs w:val="32"/>
          <w:lang w:val="en-US" w:eastAsia="zh-CN"/>
        </w:rPr>
        <w:t>公积金基数调整导致。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263"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1076"/>
        <w:gridCol w:w="994"/>
        <w:gridCol w:w="806"/>
        <w:gridCol w:w="1097"/>
        <w:gridCol w:w="2118"/>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1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1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0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11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sz w:val="20"/>
                <w:szCs w:val="20"/>
                <w:highlight w:val="none"/>
                <w:lang w:bidi="ar"/>
              </w:rPr>
              <w:t>住房保障支出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101.46%</w:t>
            </w:r>
          </w:p>
        </w:tc>
        <w:tc>
          <w:tcPr>
            <w:tcW w:w="21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_GB2312" w:hAnsi="仿宋_GB2312" w:eastAsia="仿宋_GB2312" w:cs="仿宋_GB2312"/>
                <w:kern w:val="0"/>
                <w:sz w:val="20"/>
                <w:szCs w:val="20"/>
              </w:rPr>
              <w:t>按照国家政策规定</w:t>
            </w:r>
            <w:r>
              <w:rPr>
                <w:rFonts w:hint="eastAsia" w:ascii="仿宋_GB2312" w:hAnsi="仿宋_GB2312" w:eastAsia="仿宋_GB2312" w:cs="仿宋_GB2312"/>
                <w:kern w:val="0"/>
                <w:sz w:val="20"/>
                <w:szCs w:val="20"/>
                <w:lang w:val="en-US" w:eastAsia="zh-CN"/>
              </w:rPr>
              <w:t>为在职在编职工缴纳</w:t>
            </w:r>
            <w:r>
              <w:rPr>
                <w:rFonts w:hint="eastAsia" w:ascii="仿宋_GB2312" w:hAnsi="仿宋_GB2312" w:eastAsia="仿宋_GB2312" w:cs="仿宋_GB2312"/>
                <w:kern w:val="0"/>
                <w:sz w:val="20"/>
                <w:szCs w:val="20"/>
              </w:rPr>
              <w:t>的住房公积金支出</w:t>
            </w:r>
          </w:p>
        </w:tc>
        <w:tc>
          <w:tcPr>
            <w:tcW w:w="20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_GB2312" w:hAnsi="仿宋_GB2312" w:eastAsia="仿宋_GB2312" w:cs="仿宋_GB2312"/>
                <w:kern w:val="0"/>
                <w:sz w:val="20"/>
                <w:szCs w:val="20"/>
                <w:lang w:val="en-US" w:eastAsia="zh-CN"/>
              </w:rPr>
              <w:t>本年度在职在编职工有增加及</w:t>
            </w:r>
            <w:r>
              <w:rPr>
                <w:rFonts w:hint="eastAsia" w:ascii="仿宋_GB2312" w:hAnsi="仿宋_GB2312" w:eastAsia="仿宋_GB2312" w:cs="仿宋_GB2312"/>
                <w:kern w:val="0"/>
                <w:sz w:val="20"/>
                <w:szCs w:val="20"/>
              </w:rPr>
              <w:t>住房</w:t>
            </w:r>
            <w:r>
              <w:rPr>
                <w:rFonts w:hint="eastAsia" w:ascii="仿宋_GB2312" w:hAnsi="仿宋_GB2312" w:eastAsia="仿宋_GB2312" w:cs="仿宋_GB2312"/>
                <w:kern w:val="0"/>
                <w:sz w:val="20"/>
                <w:szCs w:val="20"/>
                <w:lang w:val="en-US" w:eastAsia="zh-CN"/>
              </w:rPr>
              <w:t>公积金基数调整导致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1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0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320" w:firstLineChars="100"/>
        <w:jc w:val="left"/>
        <w:textAlignment w:val="auto"/>
        <w:rPr>
          <w:rFonts w:hint="default" w:eastAsia="仿宋"/>
          <w:color w:val="FF0000"/>
          <w:highlight w:val="none"/>
          <w:lang w:val="en-US" w:eastAsia="zh-CN"/>
        </w:rPr>
      </w:pPr>
      <w:r>
        <w:rPr>
          <w:rFonts w:hint="eastAsia" w:ascii="仿宋" w:hAnsi="仿宋" w:eastAsia="仿宋"/>
          <w:sz w:val="32"/>
          <w:szCs w:val="32"/>
          <w:highlight w:val="none"/>
          <w:lang w:val="en-US" w:eastAsia="zh-CN"/>
        </w:rPr>
        <w:t>（四）其他</w:t>
      </w:r>
      <w:r>
        <w:rPr>
          <w:rFonts w:hint="eastAsia" w:ascii="仿宋" w:hAnsi="仿宋" w:eastAsia="仿宋"/>
          <w:sz w:val="32"/>
          <w:szCs w:val="32"/>
          <w:highlight w:val="none"/>
        </w:rPr>
        <w:t>支出</w:t>
      </w:r>
      <w:r>
        <w:rPr>
          <w:rFonts w:ascii="仿宋" w:hAnsi="仿宋" w:eastAsia="仿宋"/>
          <w:sz w:val="32"/>
          <w:u w:color="auto"/>
        </w:rPr>
        <w:t>（</w:t>
      </w:r>
      <w:r>
        <w:rPr>
          <w:rFonts w:hint="eastAsia" w:ascii="仿宋" w:hAnsi="仿宋" w:eastAsia="仿宋"/>
          <w:sz w:val="32"/>
          <w:u w:color="auto"/>
          <w:lang w:val="en-US" w:eastAsia="zh-CN"/>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242.57</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原因是：根据工作需要年中追加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奖励性补贴的发放。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1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2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4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242.57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242.57%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0"/>
                <w:szCs w:val="20"/>
              </w:rPr>
              <w:t>上年在职职工</w:t>
            </w:r>
            <w:r>
              <w:rPr>
                <w:rFonts w:hint="eastAsia" w:ascii="仿宋_GB2312" w:hAnsi="仿宋_GB2312" w:eastAsia="仿宋_GB2312" w:cs="仿宋_GB2312"/>
                <w:kern w:val="0"/>
                <w:sz w:val="20"/>
                <w:szCs w:val="20"/>
                <w:lang w:val="en-US" w:eastAsia="zh-CN"/>
              </w:rPr>
              <w:t>奖励性补贴</w:t>
            </w:r>
            <w:r>
              <w:rPr>
                <w:rFonts w:hint="eastAsia" w:ascii="仿宋_GB2312" w:hAnsi="仿宋_GB2312" w:eastAsia="仿宋_GB2312" w:cs="仿宋_GB2312"/>
                <w:kern w:val="0"/>
                <w:sz w:val="20"/>
                <w:szCs w:val="20"/>
              </w:rPr>
              <w:t>支出</w:t>
            </w:r>
          </w:p>
        </w:tc>
        <w:tc>
          <w:tcPr>
            <w:tcW w:w="24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0"/>
                <w:szCs w:val="20"/>
                <w:lang w:val="en-US" w:eastAsia="zh-CN"/>
              </w:rPr>
              <w:t>根据工作需要年中追加奖励性补贴的发放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242.57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4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kinsoku/>
        <w:wordWrap/>
        <w:overflowPunct/>
        <w:topLinePunct w:val="0"/>
        <w:bidi w:val="0"/>
        <w:snapToGrid/>
        <w:spacing w:line="600" w:lineRule="exact"/>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我</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1418.49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1357.02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61.46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3"/>
        </w:numPr>
        <w:suppressLineNumbers w:val="0"/>
        <w:kinsoku/>
        <w:wordWrap/>
        <w:overflowPunct/>
        <w:topLinePunct w:val="0"/>
        <w:bidi w:val="0"/>
        <w:snapToGrid/>
        <w:spacing w:before="0" w:beforeAutospacing="0" w:after="0" w:afterAutospacing="0" w:line="600" w:lineRule="exact"/>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1315.20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136.69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本年度在职在编职工的增加、工资正常调资及职工养老、公积金基数调整等导致的。</w:t>
      </w:r>
    </w:p>
    <w:p>
      <w:pPr>
        <w:keepNext w:val="0"/>
        <w:keepLines w:val="0"/>
        <w:pageBreakBefore w:val="0"/>
        <w:kinsoku/>
        <w:wordWrap/>
        <w:overflowPunct/>
        <w:topLinePunct w:val="0"/>
        <w:bidi w:val="0"/>
        <w:snapToGrid/>
        <w:spacing w:line="600" w:lineRule="exact"/>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372.57万元，30102津贴补贴287.96万元，30103奖金341.13万元，30106伙食补助费15.30万元，30107绩效工资3.03万元，30108机关事业单位基本养老保险缴费132.32万元，30110职工基本医疗保险缴费54.14万元，30112其他社会保障缴费6.81万元，30114医疗费0.5万元，30113住房公积金100.25万元，30199其他工资福利支出1.19万元。</w:t>
      </w:r>
    </w:p>
    <w:p>
      <w:pPr>
        <w:keepNext w:val="0"/>
        <w:keepLines w:val="0"/>
        <w:pageBreakBefore w:val="0"/>
        <w:widowControl w:val="0"/>
        <w:numPr>
          <w:ilvl w:val="0"/>
          <w:numId w:val="3"/>
        </w:numPr>
        <w:suppressLineNumbers w:val="0"/>
        <w:kinsoku/>
        <w:wordWrap/>
        <w:overflowPunct/>
        <w:topLinePunct w:val="0"/>
        <w:bidi w:val="0"/>
        <w:snapToGrid/>
        <w:spacing w:before="0" w:beforeAutospacing="0" w:after="0" w:afterAutospacing="0" w:line="600" w:lineRule="exact"/>
        <w:ind w:left="0" w:leftChars="0" w:right="0" w:firstLine="420" w:firstLineChars="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61.46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104.22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主要原因是：因工作需要，年中追加经费。</w:t>
      </w:r>
    </w:p>
    <w:p>
      <w:pPr>
        <w:keepNext w:val="0"/>
        <w:keepLines w:val="0"/>
        <w:pageBreakBefore w:val="0"/>
        <w:kinsoku/>
        <w:wordWrap/>
        <w:overflowPunct/>
        <w:topLinePunct w:val="0"/>
        <w:bidi w:val="0"/>
        <w:snapToGrid/>
        <w:spacing w:line="600" w:lineRule="exact"/>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4.20万元，30202印刷费0.44万元，30205水费0.07万元，30206电费0.11万元，30207邮电费11.87万元，30209物业管理费0.69万元，30211差旅费6.37万元，30218专用材料费0.44万元，30226劳务费3.22万元，30228工会经费17.64万元，30231公务用车运行维护费14.32万元，30239其他交通费1.78万元，30299其他商品和服务支出0.32万元。</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420" w:firstLineChars="0"/>
        <w:jc w:val="left"/>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41.83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344.28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主要原因是：本年度有一名病逝的退休人员，增加了抚恤金导致。</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30304抚恤金26.76万元，30305生活补助13.74万元，30309奖励金0.04万元，30399其他对个人和家庭的补助1.29万元。</w:t>
      </w:r>
    </w:p>
    <w:p>
      <w:pPr>
        <w:keepNext w:val="0"/>
        <w:keepLines w:val="0"/>
        <w:pageBreakBefore w:val="0"/>
        <w:kinsoku/>
        <w:wordWrap/>
        <w:overflowPunct/>
        <w:topLinePunct w:val="0"/>
        <w:bidi w:val="0"/>
        <w:snapToGrid/>
        <w:spacing w:line="600" w:lineRule="exact"/>
        <w:ind w:firstLine="320" w:firstLineChars="1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eastAsia" w:ascii="仿宋" w:hAnsi="仿宋" w:eastAsia="仿宋" w:cs="仿宋"/>
          <w:sz w:val="32"/>
          <w:u w:color="auto"/>
          <w:lang w:val="en-US" w:eastAsia="zh-CN"/>
        </w:rPr>
        <w:t>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无变化。</w:t>
      </w:r>
    </w:p>
    <w:p>
      <w:pPr>
        <w:keepNext w:val="0"/>
        <w:keepLines w:val="0"/>
        <w:pageBreakBefore w:val="0"/>
        <w:kinsoku/>
        <w:wordWrap/>
        <w:overflowPunct/>
        <w:topLinePunct w:val="0"/>
        <w:bidi w:val="0"/>
        <w:snapToGrid/>
        <w:spacing w:line="600" w:lineRule="exact"/>
        <w:ind w:firstLine="320" w:firstLineChars="1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eastAsia" w:ascii="仿宋" w:hAnsi="仿宋" w:eastAsia="仿宋" w:cs="仿宋"/>
          <w:sz w:val="32"/>
          <w:u w:color="auto"/>
          <w:lang w:val="en-US" w:eastAsia="zh-CN"/>
        </w:rPr>
        <w:t>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无变化。</w:t>
      </w:r>
    </w:p>
    <w:p>
      <w:pPr>
        <w:keepNext w:val="0"/>
        <w:keepLines w:val="0"/>
        <w:pageBreakBefore w:val="0"/>
        <w:kinsoku/>
        <w:wordWrap/>
        <w:overflowPunct/>
        <w:topLinePunct w:val="0"/>
        <w:bidi w:val="0"/>
        <w:snapToGrid/>
        <w:spacing w:line="600" w:lineRule="exact"/>
        <w:ind w:firstLine="320" w:firstLineChars="1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eastAsia" w:ascii="仿宋" w:hAnsi="仿宋" w:eastAsia="仿宋" w:cs="仿宋"/>
          <w:sz w:val="32"/>
          <w:u w:color="auto"/>
          <w:lang w:val="en-US" w:eastAsia="zh-CN"/>
        </w:rPr>
        <w:t>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无变化。</w:t>
      </w:r>
    </w:p>
    <w:p>
      <w:pPr>
        <w:keepNext w:val="0"/>
        <w:keepLines w:val="0"/>
        <w:pageBreakBefore w:val="0"/>
        <w:kinsoku/>
        <w:wordWrap/>
        <w:overflowPunct/>
        <w:topLinePunct w:val="0"/>
        <w:bidi w:val="0"/>
        <w:snapToGrid/>
        <w:spacing w:line="60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val="en-US" w:eastAsia="zh-CN"/>
        </w:rPr>
        <w:t>我单位</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rPr>
        <w:t>。</w:t>
      </w:r>
    </w:p>
    <w:p>
      <w:pPr>
        <w:keepNext w:val="0"/>
        <w:keepLines w:val="0"/>
        <w:pageBreakBefore w:val="0"/>
        <w:kinsoku/>
        <w:wordWrap/>
        <w:overflowPunct/>
        <w:topLinePunct w:val="0"/>
        <w:bidi w:val="0"/>
        <w:snapToGrid/>
        <w:spacing w:line="600" w:lineRule="exact"/>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auto"/>
          <w:sz w:val="32"/>
          <w:szCs w:val="32"/>
          <w:highlight w:val="none"/>
        </w:rPr>
      </w:pPr>
      <w:bookmarkStart w:id="5" w:name="PO_part3A5B1C1DiffReason1"/>
      <w:r>
        <w:rPr>
          <w:rFonts w:hint="eastAsia" w:ascii="仿宋_GB2312" w:hAnsi="Times New Roman" w:eastAsia="仿宋_GB2312" w:cs="Times New Roman"/>
          <w:color w:val="auto"/>
          <w:sz w:val="32"/>
          <w:szCs w:val="32"/>
          <w:lang w:val="en-US" w:eastAsia="zh-CN"/>
        </w:rPr>
        <w:t>我单位</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5"/>
    </w:p>
    <w:p>
      <w:pPr>
        <w:keepNext w:val="0"/>
        <w:keepLines w:val="0"/>
        <w:pageBreakBefore w:val="0"/>
        <w:kinsoku/>
        <w:wordWrap/>
        <w:overflowPunct/>
        <w:topLinePunct w:val="0"/>
        <w:bidi w:val="0"/>
        <w:snapToGrid/>
        <w:spacing w:line="600" w:lineRule="exact"/>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49.07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增加16.27</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6"/>
          <w:kern w:val="0"/>
          <w:sz w:val="32"/>
          <w:szCs w:val="32"/>
        </w:rPr>
        <w:t>本年</w:t>
      </w:r>
      <w:r>
        <w:rPr>
          <w:rFonts w:hint="eastAsia" w:ascii="仿宋_GB2312" w:hAnsi="仿宋_GB2312" w:eastAsia="仿宋_GB2312" w:cs="仿宋_GB2312"/>
          <w:bCs/>
          <w:spacing w:val="6"/>
          <w:kern w:val="0"/>
          <w:sz w:val="32"/>
          <w:szCs w:val="32"/>
          <w:lang w:val="en-US" w:eastAsia="zh-CN"/>
        </w:rPr>
        <w:t>度</w:t>
      </w:r>
      <w:r>
        <w:rPr>
          <w:rFonts w:hint="eastAsia" w:ascii="仿宋_GB2312" w:hAnsi="仿宋_GB2312" w:eastAsia="仿宋_GB2312" w:cs="仿宋_GB2312"/>
          <w:bCs/>
          <w:spacing w:val="6"/>
          <w:kern w:val="0"/>
          <w:sz w:val="32"/>
          <w:szCs w:val="32"/>
        </w:rPr>
        <w:t>更新购置</w:t>
      </w:r>
      <w:r>
        <w:rPr>
          <w:rFonts w:hint="eastAsia" w:ascii="仿宋_GB2312" w:hAnsi="仿宋_GB2312" w:eastAsia="仿宋_GB2312" w:cs="仿宋_GB2312"/>
          <w:bCs/>
          <w:spacing w:val="6"/>
          <w:kern w:val="0"/>
          <w:sz w:val="32"/>
          <w:szCs w:val="32"/>
          <w:lang w:val="en-US" w:eastAsia="zh-CN"/>
        </w:rPr>
        <w:t>了一辆混合动力新能源车</w:t>
      </w:r>
      <w:r>
        <w:rPr>
          <w:rFonts w:hint="eastAsia" w:ascii="仿宋_GB2312" w:hAnsi="仿宋_GB2312" w:eastAsia="仿宋_GB2312" w:cs="仿宋_GB2312"/>
          <w:bCs/>
          <w:spacing w:val="6"/>
          <w:kern w:val="0"/>
          <w:sz w:val="32"/>
          <w:szCs w:val="32"/>
        </w:rPr>
        <w:t>。</w:t>
      </w:r>
    </w:p>
    <w:p>
      <w:pPr>
        <w:keepNext w:val="0"/>
        <w:keepLines w:val="0"/>
        <w:pageBreakBefore w:val="0"/>
        <w:widowControl w:val="0"/>
        <w:suppressLineNumbers w:val="0"/>
        <w:kinsoku/>
        <w:wordWrap/>
        <w:overflowPunct/>
        <w:topLinePunct w:val="0"/>
        <w:bidi w:val="0"/>
        <w:snapToGrid/>
        <w:spacing w:before="0" w:beforeAutospacing="0" w:after="0" w:afterAutospacing="0" w:line="600" w:lineRule="exact"/>
        <w:ind w:right="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45.04</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4.03</w:t>
      </w:r>
      <w:r>
        <w:rPr>
          <w:rFonts w:hint="eastAsia" w:ascii="仿宋" w:hAnsi="仿宋" w:eastAsia="仿宋" w:cs="仿宋"/>
          <w:sz w:val="32"/>
          <w:szCs w:val="32"/>
          <w:highlight w:val="none"/>
        </w:rPr>
        <w:t>万元。</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numPr>
          <w:ilvl w:val="0"/>
          <w:numId w:val="4"/>
        </w:numPr>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val="en-US" w:eastAsia="zh-CN"/>
        </w:rPr>
        <w:t>45.04</w:t>
      </w:r>
      <w:r>
        <w:rPr>
          <w:rFonts w:hint="eastAsia" w:ascii="仿宋" w:hAnsi="仿宋" w:eastAsia="仿宋" w:cs="仿宋"/>
          <w:sz w:val="32"/>
          <w:szCs w:val="32"/>
          <w:highlight w:val="none"/>
        </w:rPr>
        <w:t>万元。其中：公务用车购置支出</w:t>
      </w:r>
      <w:r>
        <w:rPr>
          <w:rFonts w:hint="eastAsia" w:ascii="仿宋" w:hAnsi="仿宋" w:eastAsia="仿宋" w:cs="仿宋"/>
          <w:sz w:val="32"/>
          <w:u w:color="auto"/>
          <w:lang w:val="en-US" w:eastAsia="zh-CN"/>
        </w:rPr>
        <w:t>26.46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14.16</w:t>
      </w:r>
      <w:r>
        <w:rPr>
          <w:rFonts w:hint="eastAsia" w:ascii="仿宋" w:hAnsi="仿宋" w:eastAsia="仿宋" w:cs="仿宋"/>
          <w:sz w:val="32"/>
          <w:szCs w:val="32"/>
          <w:highlight w:val="none"/>
        </w:rPr>
        <w:t>万元。</w:t>
      </w:r>
      <w:r>
        <w:rPr>
          <w:rFonts w:hint="eastAsia" w:ascii="仿宋_GB2312" w:hAnsi="仿宋_GB2312" w:eastAsia="仿宋_GB2312" w:cs="仿宋_GB2312"/>
          <w:bCs/>
          <w:spacing w:val="6"/>
          <w:kern w:val="0"/>
          <w:sz w:val="32"/>
          <w:szCs w:val="32"/>
        </w:rPr>
        <w:t>主要原因是本年更新购置的车型</w:t>
      </w:r>
      <w:r>
        <w:rPr>
          <w:rFonts w:hint="eastAsia" w:ascii="仿宋_GB2312" w:hAnsi="仿宋_GB2312" w:eastAsia="仿宋_GB2312" w:cs="仿宋_GB2312"/>
          <w:bCs/>
          <w:spacing w:val="6"/>
          <w:kern w:val="0"/>
          <w:sz w:val="32"/>
          <w:szCs w:val="32"/>
          <w:lang w:val="en-US" w:eastAsia="zh-CN"/>
        </w:rPr>
        <w:t>为混合动力新能源车，与上年</w:t>
      </w:r>
      <w:r>
        <w:rPr>
          <w:rFonts w:hint="eastAsia" w:ascii="仿宋_GB2312" w:hAnsi="仿宋_GB2312" w:eastAsia="仿宋_GB2312" w:cs="仿宋_GB2312"/>
          <w:bCs/>
          <w:spacing w:val="6"/>
          <w:kern w:val="0"/>
          <w:sz w:val="32"/>
          <w:szCs w:val="32"/>
        </w:rPr>
        <w:t>不同。</w:t>
      </w:r>
    </w:p>
    <w:p>
      <w:pPr>
        <w:keepNext w:val="0"/>
        <w:keepLines w:val="0"/>
        <w:pageBreakBefore w:val="0"/>
        <w:widowControl w:val="0"/>
        <w:suppressLineNumbers w:val="0"/>
        <w:kinsoku/>
        <w:wordWrap/>
        <w:overflowPunct/>
        <w:topLinePunct w:val="0"/>
        <w:bidi w:val="0"/>
        <w:snapToGrid/>
        <w:spacing w:before="0" w:beforeAutospacing="0" w:after="0" w:afterAutospacing="0" w:line="600" w:lineRule="exact"/>
        <w:ind w:left="0" w:right="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18.58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2.96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sz w:val="32"/>
          <w:szCs w:val="32"/>
          <w:highlight w:val="none"/>
          <w:lang w:val="en-US" w:eastAsia="zh-CN"/>
        </w:rPr>
        <w:t>外出办案及监督检查的次数增多。</w:t>
      </w:r>
    </w:p>
    <w:p>
      <w:pPr>
        <w:keepNext w:val="0"/>
        <w:keepLines w:val="0"/>
        <w:pageBreakBefore w:val="0"/>
        <w:widowControl w:val="0"/>
        <w:suppressLineNumbers w:val="0"/>
        <w:kinsoku/>
        <w:wordWrap/>
        <w:overflowPunct/>
        <w:topLinePunct w:val="0"/>
        <w:bidi w:val="0"/>
        <w:snapToGrid/>
        <w:spacing w:before="0" w:beforeAutospacing="0" w:after="0" w:afterAutospacing="0" w:line="600" w:lineRule="exact"/>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4.03</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95.95</w:t>
      </w:r>
      <w:r>
        <w:rPr>
          <w:rFonts w:hint="eastAsia" w:ascii="仿宋" w:hAnsi="仿宋" w:eastAsia="仿宋" w:cs="仿宋"/>
          <w:sz w:val="32"/>
          <w:szCs w:val="32"/>
          <w:highlight w:val="none"/>
        </w:rPr>
        <w:t>%， 比上年增加</w:t>
      </w:r>
      <w:r>
        <w:rPr>
          <w:rFonts w:hint="eastAsia" w:ascii="仿宋" w:hAnsi="仿宋" w:eastAsia="仿宋" w:cs="仿宋"/>
          <w:sz w:val="32"/>
          <w:szCs w:val="32"/>
          <w:highlight w:val="none"/>
          <w:lang w:val="en-US" w:eastAsia="zh-CN"/>
        </w:rPr>
        <w:t>1.33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主要原因是：上级督察检查的次数增多以及结算上年未能支付的款项。</w:t>
      </w:r>
    </w:p>
    <w:p>
      <w:pPr>
        <w:keepNext w:val="0"/>
        <w:keepLines w:val="0"/>
        <w:pageBreakBefore w:val="0"/>
        <w:kinsoku/>
        <w:wordWrap/>
        <w:overflowPunct/>
        <w:topLinePunct w:val="0"/>
        <w:bidi w:val="0"/>
        <w:snapToGrid/>
        <w:spacing w:line="600" w:lineRule="exact"/>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kinsoku/>
        <w:wordWrap/>
        <w:overflowPunct/>
        <w:topLinePunct w:val="0"/>
        <w:bidi w:val="0"/>
        <w:snapToGrid/>
        <w:spacing w:line="60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rPr>
          <w:rFonts w:hint="eastAsia" w:ascii="仿宋_GB2312" w:hAnsi="仿宋_GB2312" w:eastAsia="仿宋_GB2312" w:cs="仿宋_GB2312"/>
          <w:bCs/>
          <w:spacing w:val="6"/>
          <w:kern w:val="0"/>
          <w:sz w:val="32"/>
          <w:szCs w:val="32"/>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61.46</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减少78.86</w:t>
      </w:r>
      <w:r>
        <w:rPr>
          <w:rFonts w:hint="eastAsia" w:ascii="仿宋" w:hAnsi="仿宋" w:eastAsia="仿宋" w:cs="仿宋"/>
          <w:sz w:val="32"/>
          <w:szCs w:val="32"/>
          <w:highlight w:val="none"/>
        </w:rPr>
        <w:t>万元，</w:t>
      </w:r>
      <w:r>
        <w:rPr>
          <w:rFonts w:ascii="仿宋" w:hAnsi="仿宋" w:eastAsia="仿宋" w:cs="仿宋"/>
          <w:sz w:val="32"/>
          <w:szCs w:val="32"/>
          <w:highlight w:val="none"/>
        </w:rPr>
        <w:t>下降56.2%</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增加26.65</w:t>
      </w:r>
      <w:r>
        <w:rPr>
          <w:rFonts w:hint="eastAsia" w:ascii="仿宋" w:hAnsi="仿宋" w:eastAsia="仿宋" w:cs="仿宋"/>
          <w:sz w:val="32"/>
          <w:szCs w:val="32"/>
          <w:highlight w:val="none"/>
        </w:rPr>
        <w:t>万元，</w:t>
      </w:r>
      <w:r>
        <w:rPr>
          <w:rFonts w:ascii="仿宋" w:hAnsi="仿宋" w:eastAsia="仿宋" w:cs="仿宋"/>
          <w:sz w:val="32"/>
          <w:szCs w:val="32"/>
          <w:highlight w:val="none"/>
        </w:rPr>
        <w:t>增长76.56%</w:t>
      </w:r>
      <w:r>
        <w:rPr>
          <w:rFonts w:hint="eastAsia" w:ascii="仿宋" w:hAnsi="仿宋" w:eastAsia="仿宋" w:cs="仿宋"/>
          <w:sz w:val="32"/>
          <w:szCs w:val="32"/>
          <w:highlight w:val="none"/>
        </w:rPr>
        <w:t>。</w:t>
      </w:r>
      <w:r>
        <w:rPr>
          <w:rFonts w:hint="eastAsia" w:ascii="仿宋_GB2312" w:hAnsi="仿宋_GB2312" w:eastAsia="仿宋_GB2312" w:cs="仿宋_GB2312"/>
          <w:bCs/>
          <w:spacing w:val="6"/>
          <w:kern w:val="0"/>
          <w:sz w:val="32"/>
          <w:szCs w:val="32"/>
        </w:rPr>
        <w:t>主要原因是：人员的变动及根据办案工作需要。</w:t>
      </w:r>
    </w:p>
    <w:p>
      <w:pPr>
        <w:keepNext w:val="0"/>
        <w:keepLines w:val="0"/>
        <w:pageBreakBefore w:val="0"/>
        <w:kinsoku/>
        <w:wordWrap/>
        <w:overflowPunct/>
        <w:topLinePunct w:val="0"/>
        <w:bidi w:val="0"/>
        <w:snapToGrid/>
        <w:spacing w:line="60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50.97</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49.80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1.17</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50.97</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keepNext w:val="0"/>
        <w:keepLines w:val="0"/>
        <w:pageBreakBefore w:val="0"/>
        <w:kinsoku/>
        <w:wordWrap/>
        <w:overflowPunct/>
        <w:topLinePunct w:val="0"/>
        <w:bidi w:val="0"/>
        <w:snapToGrid/>
        <w:spacing w:line="600" w:lineRule="exact"/>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辆，</w:t>
      </w:r>
      <w:r>
        <w:rPr>
          <w:rFonts w:hint="eastAsia" w:ascii="仿宋" w:hAnsi="仿宋" w:eastAsia="仿宋" w:cs="仿宋"/>
          <w:sz w:val="32"/>
          <w:szCs w:val="32"/>
          <w:highlight w:val="none"/>
          <w:lang w:val="en-US" w:eastAsia="zh-CN"/>
        </w:rPr>
        <w:t>均为</w:t>
      </w:r>
      <w:r>
        <w:rPr>
          <w:rFonts w:hint="eastAsia" w:ascii="仿宋" w:hAnsi="仿宋" w:eastAsia="仿宋" w:cs="仿宋"/>
          <w:sz w:val="32"/>
          <w:szCs w:val="32"/>
          <w:highlight w:val="none"/>
        </w:rPr>
        <w:t>执法执勤用车；单位价值50万元以上通用设备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keepNext w:val="0"/>
        <w:keepLines w:val="0"/>
        <w:pageBreakBefore w:val="0"/>
        <w:kinsoku/>
        <w:wordWrap/>
        <w:overflowPunct/>
        <w:topLinePunct w:val="0"/>
        <w:bidi w:val="0"/>
        <w:snapToGrid/>
        <w:spacing w:line="600" w:lineRule="exact"/>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w:t>
      </w:r>
      <w:r>
        <w:rPr>
          <w:rFonts w:hint="eastAsia" w:ascii="仿宋_GB2312" w:hAnsi="仿宋_GB2312" w:eastAsia="仿宋_GB2312" w:cs="仿宋_GB2312"/>
          <w:i w:val="0"/>
          <w:iCs w:val="0"/>
          <w:caps w:val="0"/>
          <w:color w:val="auto"/>
          <w:spacing w:val="0"/>
          <w:sz w:val="32"/>
          <w:szCs w:val="32"/>
        </w:rPr>
        <w:t>2022年本单位</w:t>
      </w:r>
      <w:r>
        <w:rPr>
          <w:rFonts w:hint="eastAsia" w:ascii="仿宋_GB2312" w:hAnsi="仿宋_GB2312" w:eastAsia="仿宋_GB2312" w:cs="仿宋_GB2312"/>
          <w:color w:val="auto"/>
          <w:sz w:val="32"/>
          <w:szCs w:val="32"/>
          <w:lang w:eastAsia="zh-CN"/>
        </w:rPr>
        <w:t>项目资金有</w:t>
      </w:r>
      <w:r>
        <w:rPr>
          <w:rFonts w:hint="eastAsia" w:ascii="仿宋_GB2312" w:hAnsi="仿宋_GB2312" w:eastAsia="仿宋_GB2312" w:cs="仿宋_GB2312"/>
          <w:color w:val="auto"/>
          <w:sz w:val="32"/>
          <w:szCs w:val="32"/>
          <w:lang w:val="en-US" w:eastAsia="zh-CN"/>
        </w:rPr>
        <w:t>12个项目，</w:t>
      </w:r>
      <w:r>
        <w:rPr>
          <w:rFonts w:hint="eastAsia" w:ascii="仿宋_GB2312" w:hAnsi="仿宋_GB2312" w:eastAsia="仿宋_GB2312" w:cs="仿宋_GB2312"/>
          <w:color w:val="auto"/>
          <w:sz w:val="32"/>
          <w:szCs w:val="32"/>
          <w:lang w:eastAsia="zh-CN"/>
        </w:rPr>
        <w:t>年初预算数</w:t>
      </w:r>
      <w:r>
        <w:rPr>
          <w:rFonts w:hint="eastAsia" w:ascii="仿宋_GB2312" w:hAnsi="仿宋_GB2312" w:eastAsia="仿宋_GB2312" w:cs="仿宋_GB2312"/>
          <w:color w:val="auto"/>
          <w:sz w:val="32"/>
          <w:szCs w:val="32"/>
          <w:lang w:val="en-US" w:eastAsia="zh-CN"/>
        </w:rPr>
        <w:t>214.40</w:t>
      </w:r>
      <w:r>
        <w:rPr>
          <w:rFonts w:hint="eastAsia" w:ascii="仿宋_GB2312" w:hAnsi="仿宋_GB2312" w:eastAsia="仿宋_GB2312" w:cs="仿宋_GB2312"/>
          <w:i w:val="0"/>
          <w:iCs w:val="0"/>
          <w:caps w:val="0"/>
          <w:color w:val="auto"/>
          <w:spacing w:val="0"/>
          <w:sz w:val="32"/>
          <w:szCs w:val="32"/>
        </w:rPr>
        <w:t>万元</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年中预算</w:t>
      </w:r>
      <w:r>
        <w:rPr>
          <w:rFonts w:hint="eastAsia" w:ascii="仿宋_GB2312" w:hAnsi="仿宋_GB2312" w:eastAsia="仿宋_GB2312" w:cs="仿宋_GB2312"/>
          <w:i w:val="0"/>
          <w:iCs w:val="0"/>
          <w:caps w:val="0"/>
          <w:color w:val="auto"/>
          <w:spacing w:val="0"/>
          <w:sz w:val="32"/>
          <w:szCs w:val="32"/>
          <w:lang w:eastAsia="zh-CN"/>
        </w:rPr>
        <w:t>调整数</w:t>
      </w:r>
      <w:r>
        <w:rPr>
          <w:rFonts w:hint="eastAsia" w:ascii="仿宋_GB2312" w:hAnsi="仿宋_GB2312" w:eastAsia="仿宋_GB2312" w:cs="仿宋_GB2312"/>
          <w:i w:val="0"/>
          <w:iCs w:val="0"/>
          <w:caps w:val="0"/>
          <w:color w:val="auto"/>
          <w:spacing w:val="0"/>
          <w:sz w:val="32"/>
          <w:szCs w:val="32"/>
          <w:lang w:val="en-US" w:eastAsia="zh-CN"/>
        </w:rPr>
        <w:t>316.52</w:t>
      </w:r>
      <w:r>
        <w:rPr>
          <w:rFonts w:hint="eastAsia" w:ascii="仿宋_GB2312" w:hAnsi="仿宋_GB2312" w:eastAsia="仿宋_GB2312" w:cs="仿宋_GB2312"/>
          <w:i w:val="0"/>
          <w:iCs w:val="0"/>
          <w:caps w:val="0"/>
          <w:color w:val="auto"/>
          <w:spacing w:val="0"/>
          <w:sz w:val="32"/>
          <w:szCs w:val="32"/>
        </w:rPr>
        <w:t>万元</w:t>
      </w:r>
      <w:r>
        <w:rPr>
          <w:rFonts w:hint="eastAsia" w:ascii="仿宋_GB2312" w:hAnsi="仿宋_GB2312" w:eastAsia="仿宋_GB2312" w:cs="仿宋_GB2312"/>
          <w:i w:val="0"/>
          <w:iCs w:val="0"/>
          <w:caps w:val="0"/>
          <w:color w:val="auto"/>
          <w:spacing w:val="0"/>
          <w:sz w:val="32"/>
          <w:szCs w:val="32"/>
          <w:lang w:eastAsia="zh-CN"/>
        </w:rPr>
        <w:t>，调整后预算数</w:t>
      </w:r>
      <w:r>
        <w:rPr>
          <w:rFonts w:hint="eastAsia" w:ascii="仿宋_GB2312" w:hAnsi="仿宋_GB2312" w:eastAsia="仿宋_GB2312" w:cs="仿宋_GB2312"/>
          <w:i w:val="0"/>
          <w:iCs w:val="0"/>
          <w:caps w:val="0"/>
          <w:color w:val="auto"/>
          <w:spacing w:val="0"/>
          <w:sz w:val="32"/>
          <w:szCs w:val="32"/>
          <w:lang w:val="en-US" w:eastAsia="zh-CN"/>
        </w:rPr>
        <w:t>530.92万元，全年执行数395.60万元，平均预算执行率74.51%</w:t>
      </w:r>
      <w:r>
        <w:rPr>
          <w:rFonts w:hint="eastAsia" w:ascii="仿宋_GB2312" w:hAnsi="仿宋_GB2312" w:eastAsia="仿宋_GB2312" w:cs="仿宋_GB2312"/>
          <w:i w:val="0"/>
          <w:iCs w:val="0"/>
          <w:caps w:val="0"/>
          <w:color w:val="auto"/>
          <w:spacing w:val="0"/>
          <w:sz w:val="32"/>
          <w:szCs w:val="32"/>
        </w:rPr>
        <w:t>。</w:t>
      </w:r>
      <w:r>
        <w:rPr>
          <w:rFonts w:hint="eastAsia" w:ascii="仿宋" w:hAnsi="仿宋" w:eastAsia="仿宋" w:cs="仿宋"/>
          <w:color w:val="000000" w:themeColor="text1"/>
          <w:sz w:val="32"/>
          <w:szCs w:val="32"/>
          <w14:textFill>
            <w14:solidFill>
              <w14:schemeClr w14:val="tx1"/>
            </w14:solidFill>
          </w14:textFill>
        </w:rPr>
        <w:t>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三等项目2个</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本部门</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395.60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i w:val="0"/>
          <w:iCs w:val="0"/>
          <w:caps w:val="0"/>
          <w:color w:val="333333"/>
          <w:spacing w:val="0"/>
          <w:sz w:val="32"/>
          <w:szCs w:val="32"/>
        </w:rPr>
        <w:t>通过这次自评，进一步提高了我</w:t>
      </w:r>
      <w:r>
        <w:rPr>
          <w:rFonts w:hint="eastAsia" w:ascii="仿宋_GB2312" w:hAnsi="仿宋_GB2312" w:eastAsia="仿宋_GB2312" w:cs="仿宋_GB2312"/>
          <w:i w:val="0"/>
          <w:iCs w:val="0"/>
          <w:caps w:val="0"/>
          <w:color w:val="333333"/>
          <w:spacing w:val="0"/>
          <w:sz w:val="32"/>
          <w:szCs w:val="32"/>
          <w:lang w:eastAsia="zh-CN"/>
        </w:rPr>
        <w:t>单位</w:t>
      </w:r>
      <w:r>
        <w:rPr>
          <w:rFonts w:hint="eastAsia" w:ascii="仿宋_GB2312" w:hAnsi="仿宋_GB2312" w:eastAsia="仿宋_GB2312" w:cs="仿宋_GB2312"/>
          <w:i w:val="0"/>
          <w:iCs w:val="0"/>
          <w:caps w:val="0"/>
          <w:color w:val="333333"/>
          <w:spacing w:val="0"/>
          <w:sz w:val="32"/>
          <w:szCs w:val="32"/>
        </w:rPr>
        <w:t>的</w:t>
      </w:r>
      <w:r>
        <w:rPr>
          <w:rFonts w:hint="eastAsia" w:ascii="仿宋_GB2312" w:hAnsi="仿宋_GB2312" w:eastAsia="仿宋_GB2312" w:cs="仿宋_GB2312"/>
          <w:i w:val="0"/>
          <w:iCs w:val="0"/>
          <w:caps w:val="0"/>
          <w:color w:val="333333"/>
          <w:spacing w:val="0"/>
          <w:sz w:val="32"/>
          <w:szCs w:val="32"/>
          <w:lang w:val="en-US" w:eastAsia="zh-CN"/>
        </w:rPr>
        <w:t>预算</w:t>
      </w:r>
      <w:r>
        <w:rPr>
          <w:rFonts w:hint="eastAsia" w:ascii="仿宋_GB2312" w:hAnsi="仿宋_GB2312" w:eastAsia="仿宋_GB2312" w:cs="仿宋_GB2312"/>
          <w:i w:val="0"/>
          <w:iCs w:val="0"/>
          <w:caps w:val="0"/>
          <w:color w:val="333333"/>
          <w:spacing w:val="0"/>
          <w:sz w:val="32"/>
          <w:szCs w:val="32"/>
        </w:rPr>
        <w:t>绩效管理水平</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我们将</w:t>
      </w:r>
      <w:r>
        <w:rPr>
          <w:rFonts w:hint="eastAsia" w:ascii="仿宋_GB2312" w:hAnsi="仿宋_GB2312" w:eastAsia="仿宋_GB2312" w:cs="仿宋_GB2312"/>
          <w:i w:val="0"/>
          <w:iCs w:val="0"/>
          <w:caps w:val="0"/>
          <w:color w:val="333333"/>
          <w:spacing w:val="0"/>
          <w:sz w:val="32"/>
          <w:szCs w:val="32"/>
        </w:rPr>
        <w:t>吸取经验，改进工作，</w:t>
      </w:r>
      <w:r>
        <w:rPr>
          <w:rFonts w:hint="eastAsia" w:ascii="仿宋_GB2312" w:hAnsi="仿宋_GB2312" w:eastAsia="仿宋_GB2312" w:cs="仿宋_GB2312"/>
          <w:i w:val="0"/>
          <w:iCs w:val="0"/>
          <w:caps w:val="0"/>
          <w:color w:val="333333"/>
          <w:spacing w:val="0"/>
          <w:sz w:val="32"/>
          <w:szCs w:val="32"/>
          <w:lang w:val="en-US" w:eastAsia="zh-CN"/>
        </w:rPr>
        <w:t>让以后的预算编制工作更加精准合理，</w:t>
      </w:r>
      <w:r>
        <w:rPr>
          <w:rFonts w:hint="eastAsia" w:ascii="仿宋_GB2312" w:hAnsi="仿宋_GB2312" w:eastAsia="仿宋_GB2312" w:cs="仿宋_GB2312"/>
          <w:i w:val="0"/>
          <w:iCs w:val="0"/>
          <w:caps w:val="0"/>
          <w:color w:val="333333"/>
          <w:spacing w:val="0"/>
          <w:sz w:val="32"/>
          <w:szCs w:val="32"/>
        </w:rPr>
        <w:t>让工作与绩效目标匹配。</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12个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99.27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_GB2312" w:hAnsi="仿宋_GB2312" w:eastAsia="仿宋_GB2312" w:cs="仿宋_GB2312"/>
          <w:i w:val="0"/>
          <w:iCs w:val="0"/>
          <w:caps w:val="0"/>
          <w:color w:val="333333"/>
          <w:spacing w:val="0"/>
          <w:sz w:val="32"/>
          <w:szCs w:val="32"/>
          <w:lang w:val="en-US" w:eastAsia="zh-CN"/>
        </w:rPr>
        <w:t>一是</w:t>
      </w:r>
      <w:r>
        <w:rPr>
          <w:rFonts w:hint="eastAsia" w:ascii="仿宋_GB2312" w:hAnsi="仿宋_GB2312" w:eastAsia="仿宋_GB2312" w:cs="仿宋_GB2312"/>
          <w:i w:val="0"/>
          <w:iCs w:val="0"/>
          <w:caps w:val="0"/>
          <w:color w:val="333333"/>
          <w:spacing w:val="0"/>
          <w:sz w:val="32"/>
          <w:szCs w:val="32"/>
        </w:rPr>
        <w:t>年初部门预算编制</w:t>
      </w:r>
      <w:r>
        <w:rPr>
          <w:rFonts w:hint="eastAsia" w:ascii="仿宋_GB2312" w:hAnsi="仿宋_GB2312" w:eastAsia="仿宋_GB2312" w:cs="仿宋_GB2312"/>
          <w:i w:val="0"/>
          <w:iCs w:val="0"/>
          <w:caps w:val="0"/>
          <w:color w:val="333333"/>
          <w:spacing w:val="0"/>
          <w:sz w:val="32"/>
          <w:szCs w:val="32"/>
          <w:lang w:val="en-US" w:eastAsia="zh-CN"/>
        </w:rPr>
        <w:t>精准度、</w:t>
      </w:r>
      <w:r>
        <w:rPr>
          <w:rFonts w:hint="eastAsia" w:ascii="仿宋_GB2312" w:hAnsi="仿宋_GB2312" w:eastAsia="仿宋_GB2312" w:cs="仿宋_GB2312"/>
          <w:i w:val="0"/>
          <w:iCs w:val="0"/>
          <w:caps w:val="0"/>
          <w:color w:val="333333"/>
          <w:spacing w:val="0"/>
          <w:sz w:val="32"/>
          <w:szCs w:val="32"/>
        </w:rPr>
        <w:t>细化程度不够，导致在执行总体绩效目标是部分存在偏差，致使项目预算存在年中、年末追加追减的现象。</w:t>
      </w:r>
      <w:r>
        <w:rPr>
          <w:rFonts w:hint="eastAsia" w:ascii="仿宋" w:hAnsi="仿宋" w:eastAsia="仿宋" w:cs="仿宋"/>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i w:val="0"/>
          <w:iCs w:val="0"/>
          <w:caps w:val="0"/>
          <w:color w:val="333333"/>
          <w:spacing w:val="0"/>
          <w:sz w:val="32"/>
          <w:szCs w:val="32"/>
          <w:lang w:eastAsia="zh-CN"/>
        </w:rPr>
        <w:t>指标完成情况</w:t>
      </w:r>
      <w:r>
        <w:rPr>
          <w:rFonts w:hint="eastAsia" w:ascii="仿宋_GB2312" w:hAnsi="仿宋_GB2312" w:eastAsia="仿宋_GB2312" w:cs="仿宋_GB2312"/>
          <w:i w:val="0"/>
          <w:iCs w:val="0"/>
          <w:caps w:val="0"/>
          <w:color w:val="333333"/>
          <w:spacing w:val="0"/>
          <w:sz w:val="32"/>
          <w:szCs w:val="32"/>
        </w:rPr>
        <w:t>中的数量指标、质量指标、成本指标很难确定，经济效益、社会效益、生态效益等难以量化，绩效目标的设定和执行之间难免出现偏差。</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_GB2312" w:hAnsi="仿宋_GB2312" w:eastAsia="仿宋_GB2312" w:cs="仿宋_GB2312"/>
          <w:i w:val="0"/>
          <w:iCs w:val="0"/>
          <w:caps w:val="0"/>
          <w:color w:val="333333"/>
          <w:spacing w:val="0"/>
          <w:sz w:val="32"/>
          <w:szCs w:val="32"/>
        </w:rPr>
        <w:t>加强预算编制的合理性。严格按</w:t>
      </w:r>
      <w:r>
        <w:rPr>
          <w:rFonts w:hint="eastAsia" w:ascii="仿宋_GB2312" w:hAnsi="仿宋_GB2312" w:eastAsia="仿宋_GB2312" w:cs="仿宋_GB2312"/>
          <w:i w:val="0"/>
          <w:iCs w:val="0"/>
          <w:caps w:val="0"/>
          <w:color w:val="333333"/>
          <w:spacing w:val="0"/>
          <w:sz w:val="32"/>
          <w:szCs w:val="32"/>
          <w:lang w:eastAsia="zh-CN"/>
        </w:rPr>
        <w:t>县</w:t>
      </w:r>
      <w:r>
        <w:rPr>
          <w:rFonts w:hint="eastAsia" w:ascii="仿宋_GB2312" w:hAnsi="仿宋_GB2312" w:eastAsia="仿宋_GB2312" w:cs="仿宋_GB2312"/>
          <w:i w:val="0"/>
          <w:iCs w:val="0"/>
          <w:caps w:val="0"/>
          <w:color w:val="333333"/>
          <w:spacing w:val="0"/>
          <w:sz w:val="32"/>
          <w:szCs w:val="32"/>
        </w:rPr>
        <w:t>本级部门预算编报程序进行编制，基本支出预算按照单位的基础信息和核定的标准编制，保证单位的正常运转；项目支出预算根据单位发展规划和年度计划，结合财政部门预算安排情况，科学细化项目。</w:t>
      </w:r>
      <w:r>
        <w:rPr>
          <w:rFonts w:hint="eastAsia" w:ascii="仿宋" w:hAnsi="仿宋" w:eastAsia="仿宋" w:cs="仿宋"/>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i w:val="0"/>
          <w:iCs w:val="0"/>
          <w:caps w:val="0"/>
          <w:color w:val="333333"/>
          <w:spacing w:val="0"/>
          <w:sz w:val="32"/>
          <w:szCs w:val="32"/>
          <w:lang w:val="en-US" w:eastAsia="zh-CN"/>
        </w:rPr>
        <w:t>加强</w:t>
      </w:r>
      <w:r>
        <w:rPr>
          <w:rFonts w:hint="eastAsia" w:ascii="仿宋_GB2312" w:hAnsi="仿宋_GB2312" w:eastAsia="仿宋_GB2312" w:cs="仿宋_GB2312"/>
          <w:i w:val="0"/>
          <w:iCs w:val="0"/>
          <w:caps w:val="0"/>
          <w:color w:val="333333"/>
          <w:spacing w:val="0"/>
          <w:sz w:val="32"/>
          <w:szCs w:val="32"/>
        </w:rPr>
        <w:t>预算绩效管理工作。</w:t>
      </w:r>
      <w:r>
        <w:rPr>
          <w:rFonts w:hint="eastAsia" w:ascii="仿宋_GB2312" w:hAnsi="仿宋_GB2312" w:eastAsia="仿宋_GB2312" w:cs="仿宋_GB2312"/>
          <w:i w:val="0"/>
          <w:iCs w:val="0"/>
          <w:caps w:val="0"/>
          <w:color w:val="333333"/>
          <w:spacing w:val="0"/>
          <w:sz w:val="32"/>
          <w:szCs w:val="32"/>
          <w:lang w:val="en-US" w:eastAsia="zh-CN"/>
        </w:rPr>
        <w:t>做好</w:t>
      </w:r>
      <w:r>
        <w:rPr>
          <w:rFonts w:hint="eastAsia" w:ascii="仿宋_GB2312" w:hAnsi="仿宋_GB2312" w:eastAsia="仿宋_GB2312" w:cs="仿宋_GB2312"/>
          <w:i w:val="0"/>
          <w:iCs w:val="0"/>
          <w:caps w:val="0"/>
          <w:color w:val="333333"/>
          <w:spacing w:val="0"/>
          <w:sz w:val="32"/>
          <w:szCs w:val="32"/>
        </w:rPr>
        <w:t>事前评价</w:t>
      </w:r>
      <w:r>
        <w:rPr>
          <w:rFonts w:hint="eastAsia" w:ascii="仿宋_GB2312" w:hAnsi="仿宋_GB2312" w:eastAsia="仿宋_GB2312" w:cs="仿宋_GB2312"/>
          <w:i w:val="0"/>
          <w:iCs w:val="0"/>
          <w:caps w:val="0"/>
          <w:color w:val="333333"/>
          <w:spacing w:val="0"/>
          <w:sz w:val="32"/>
          <w:szCs w:val="32"/>
          <w:lang w:val="en-US" w:eastAsia="zh-CN"/>
        </w:rPr>
        <w:t>分析</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val="en-US" w:eastAsia="zh-CN"/>
        </w:rPr>
        <w:t>事中严格遵守自查，事后评价总结。</w:t>
      </w:r>
      <w:r>
        <w:rPr>
          <w:rFonts w:hint="eastAsia" w:ascii="仿宋_GB2312" w:hAnsi="仿宋_GB2312" w:eastAsia="仿宋_GB2312" w:cs="仿宋_GB2312"/>
          <w:i w:val="0"/>
          <w:iCs w:val="0"/>
          <w:caps w:val="0"/>
          <w:color w:val="333333"/>
          <w:spacing w:val="0"/>
          <w:sz w:val="32"/>
          <w:szCs w:val="32"/>
        </w:rPr>
        <w:t>做到预算财务分析常态化，定期做好预算支出财务分析，做好部门整体支出预算评价工作。</w:t>
      </w:r>
    </w:p>
    <w:p>
      <w:pPr>
        <w:keepNext w:val="0"/>
        <w:keepLines w:val="0"/>
        <w:pageBreakBefore w:val="0"/>
        <w:kinsoku/>
        <w:wordWrap/>
        <w:overflowPunct/>
        <w:topLinePunct w:val="0"/>
        <w:bidi w:val="0"/>
        <w:snapToGrid/>
        <w:spacing w:line="600" w:lineRule="exact"/>
        <w:jc w:val="left"/>
        <w:rPr>
          <w:rFonts w:hint="eastAsia" w:ascii="仿宋" w:hAnsi="仿宋" w:eastAsia="仿宋" w:cs="仿宋"/>
          <w:sz w:val="32"/>
          <w:szCs w:val="32"/>
          <w:highlight w:val="none"/>
        </w:rPr>
      </w:pPr>
    </w:p>
    <w:p>
      <w:pPr>
        <w:keepNext w:val="0"/>
        <w:keepLines w:val="0"/>
        <w:pageBreakBefore w:val="0"/>
        <w:kinsoku/>
        <w:wordWrap/>
        <w:overflowPunct/>
        <w:topLinePunct w:val="0"/>
        <w:bidi w:val="0"/>
        <w:snapToGrid/>
        <w:spacing w:line="60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kinsoku/>
        <w:wordWrap/>
        <w:overflowPunct/>
        <w:topLinePunct w:val="0"/>
        <w:bidi w:val="0"/>
        <w:snapToGrid/>
        <w:spacing w:line="60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6" w:name="_GoBack"/>
      <w:bookmarkEnd w:id="6"/>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kinsoku/>
        <w:wordWrap/>
        <w:overflowPunct/>
        <w:topLinePunct w:val="0"/>
        <w:bidi w:val="0"/>
        <w:snapToGrid/>
        <w:spacing w:line="60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984" w:right="1417" w:bottom="1440" w:left="1417" w:header="851" w:footer="879"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D63AF"/>
    <w:multiLevelType w:val="singleLevel"/>
    <w:tmpl w:val="953D63AF"/>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E1912437"/>
    <w:multiLevelType w:val="singleLevel"/>
    <w:tmpl w:val="E191243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9D2E1D"/>
    <w:rsid w:val="04E54546"/>
    <w:rsid w:val="05992762"/>
    <w:rsid w:val="07A17621"/>
    <w:rsid w:val="07B0770E"/>
    <w:rsid w:val="09105FBE"/>
    <w:rsid w:val="0942143F"/>
    <w:rsid w:val="0D100297"/>
    <w:rsid w:val="0D202B45"/>
    <w:rsid w:val="0F8D4C87"/>
    <w:rsid w:val="10505FAA"/>
    <w:rsid w:val="105F7E7E"/>
    <w:rsid w:val="11E56B5B"/>
    <w:rsid w:val="125C77AB"/>
    <w:rsid w:val="14CB726E"/>
    <w:rsid w:val="17D72E94"/>
    <w:rsid w:val="17E92249"/>
    <w:rsid w:val="18D304F1"/>
    <w:rsid w:val="191F211A"/>
    <w:rsid w:val="19F32577"/>
    <w:rsid w:val="19F45B80"/>
    <w:rsid w:val="1B0C078D"/>
    <w:rsid w:val="1B2B31E2"/>
    <w:rsid w:val="1B4C295A"/>
    <w:rsid w:val="1B973C63"/>
    <w:rsid w:val="1BA1001E"/>
    <w:rsid w:val="1D317259"/>
    <w:rsid w:val="1E664F5B"/>
    <w:rsid w:val="1EB34BE1"/>
    <w:rsid w:val="215E639F"/>
    <w:rsid w:val="21EC3183"/>
    <w:rsid w:val="225E72CD"/>
    <w:rsid w:val="226C21B5"/>
    <w:rsid w:val="246E2F77"/>
    <w:rsid w:val="254B4E2B"/>
    <w:rsid w:val="26717E1E"/>
    <w:rsid w:val="269E4AB2"/>
    <w:rsid w:val="283D7C94"/>
    <w:rsid w:val="29480E03"/>
    <w:rsid w:val="2983634D"/>
    <w:rsid w:val="2BB02055"/>
    <w:rsid w:val="2C575A56"/>
    <w:rsid w:val="2F257714"/>
    <w:rsid w:val="2F3275E5"/>
    <w:rsid w:val="30AA08EF"/>
    <w:rsid w:val="30D23D1C"/>
    <w:rsid w:val="31221CF5"/>
    <w:rsid w:val="31400178"/>
    <w:rsid w:val="321E3342"/>
    <w:rsid w:val="327759C8"/>
    <w:rsid w:val="33185FE3"/>
    <w:rsid w:val="343D1CFA"/>
    <w:rsid w:val="34EE2E36"/>
    <w:rsid w:val="36777241"/>
    <w:rsid w:val="38A951DB"/>
    <w:rsid w:val="38B31605"/>
    <w:rsid w:val="38EF4246"/>
    <w:rsid w:val="39003F4F"/>
    <w:rsid w:val="3C07002B"/>
    <w:rsid w:val="3D0D152A"/>
    <w:rsid w:val="3DF62756"/>
    <w:rsid w:val="3F1B7587"/>
    <w:rsid w:val="41E57B4F"/>
    <w:rsid w:val="432F26F6"/>
    <w:rsid w:val="43880F63"/>
    <w:rsid w:val="44054248"/>
    <w:rsid w:val="441C5A6F"/>
    <w:rsid w:val="44C44FCC"/>
    <w:rsid w:val="44CC7369"/>
    <w:rsid w:val="457F5108"/>
    <w:rsid w:val="46951B6B"/>
    <w:rsid w:val="49A34401"/>
    <w:rsid w:val="4A3E30AB"/>
    <w:rsid w:val="4AC14DAC"/>
    <w:rsid w:val="4D154C85"/>
    <w:rsid w:val="4EC8553A"/>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8B51AD"/>
    <w:rsid w:val="65AA4920"/>
    <w:rsid w:val="67694F1E"/>
    <w:rsid w:val="68E66189"/>
    <w:rsid w:val="69597934"/>
    <w:rsid w:val="6B265FCE"/>
    <w:rsid w:val="6B964DDC"/>
    <w:rsid w:val="6C783074"/>
    <w:rsid w:val="6D9E65C6"/>
    <w:rsid w:val="6DA81947"/>
    <w:rsid w:val="6EB66DE2"/>
    <w:rsid w:val="6ED3075F"/>
    <w:rsid w:val="6F2A2D4B"/>
    <w:rsid w:val="6F870752"/>
    <w:rsid w:val="6F8A0C1E"/>
    <w:rsid w:val="703F45D4"/>
    <w:rsid w:val="715D6546"/>
    <w:rsid w:val="71BE069E"/>
    <w:rsid w:val="739103E7"/>
    <w:rsid w:val="73953409"/>
    <w:rsid w:val="73E069A3"/>
    <w:rsid w:val="77C844C8"/>
    <w:rsid w:val="78104AA8"/>
    <w:rsid w:val="78E257C5"/>
    <w:rsid w:val="794B35BE"/>
    <w:rsid w:val="7A6F5F86"/>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2023-11-29T03:12:29Z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1EDD3126127D4A409006C615CCAEFDC1</vt:lpwstr>
  </property>
</Properties>
</file>