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环江毛南族自治县教育局2022年度部门决算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both"/>
        <w:rPr>
          <w:rFonts w:hint="eastAsia" w:ascii="黑体" w:hAnsi="黑体" w:eastAsia="黑体" w:cs="黑体"/>
          <w:b/>
          <w:bCs/>
          <w:sz w:val="36"/>
          <w:szCs w:val="36"/>
          <w:highlight w:val="none"/>
          <w:lang w:eastAsia="zh-CN"/>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环江毛南族自治县教育局（本级）</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环江毛南族自治县教育局（本级）</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环江毛南族自治县教育局（本级）</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环江毛南族自治县教育局（本级）</w:t>
      </w:r>
      <w:r>
        <w:rPr>
          <w:rFonts w:hint="eastAsia" w:ascii="黑体" w:hAnsi="黑体" w:eastAsia="黑体" w:cs="黑体"/>
          <w:b/>
          <w:bCs/>
          <w:sz w:val="32"/>
          <w:szCs w:val="32"/>
          <w:highlight w:val="none"/>
        </w:rPr>
        <w:t>概况</w:t>
      </w:r>
    </w:p>
    <w:p>
      <w:pPr>
        <w:ind w:firstLine="640" w:firstLineChars="200"/>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（一）贯彻执行党和国家的教育方针、政策和法律法规；拟订全县教育改革与发展规划并组织实施。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 （二）编制本县教育事业发展规划并检查实施情况，向自治县人民政府和上级教育部门作出报告。</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（三）督促检查全县贯彻执行教育方针、政策、法令、法规和上级的各项规定；评估指导全县教育教学工作。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（四）负责推进义务教育均衡发展和促进教育公平，负责义务教育的宏观指导与协调，指导普通高中教育、职业技术教育、成人教育、民族教育、幼儿教育和特殊教育工作。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（五）负责全县教育系统校长队伍、人才队伍和教师队伍建设，包括校长岗位培训、后备干部队伍建设、教师学历教育、继续教育等。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（六）负责组织全县做好中考、高中毕业会考、高考的考务工作、招生录取工作和中小学学籍管理工作。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（七）按照中央关于全面推进素质教育要求，负责教育教学管理、教育教学改革及教育教学科学研究工作，检查指导全县实施素质教育工作，并组织推广先进的教育教学经验。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（八）检查指导学校教育教学设备的装备、管理和使用工作。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（九）检查指导全县开展电化教育和信息化教学工作。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（十）负责全县教师初级专业技术职务资格的评审，中、高级专业技术职务资格的申报工作。按照管理权限对教师进行考核、聘任、奖惩、晋升等工作。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（十一）负责监督审计全县教育经费和教育基建经费拨付及教育附加费和教育费附加的征收、管理与使用工作。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（十二）负责全县中小学校教学教育常规管理评估工作，指导全县中小学、中职学校德育、体育、卫生、艺术、安全工作以及团组织和少先队工作。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（十三）指导全县的教育督导工作，组织和指导对中等及中等以下教育，扫除青壮年文盲工作的督导检查和评估工作，指导基础教育发展水平、质量的监测工作。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（十四）检查指导基础教育阶段民办教育、高中阶段民办教育办学工作。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（十五）负责指导全县学生资助管理工作。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（十六）负责语言文字和指导推广普通话工作。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color w:val="auto"/>
          <w:kern w:val="0"/>
          <w:sz w:val="32"/>
          <w:szCs w:val="32"/>
        </w:rPr>
      </w:pPr>
      <w:r>
        <w:rPr>
          <w:rFonts w:hint="eastAsia" w:ascii="仿宋_GB2312" w:eastAsia="仿宋_GB2312" w:cs="仿宋_GB2312"/>
          <w:color w:val="auto"/>
          <w:kern w:val="0"/>
          <w:sz w:val="32"/>
          <w:szCs w:val="32"/>
        </w:rPr>
        <w:t>（十七）</w:t>
      </w:r>
      <w:r>
        <w:rPr>
          <w:rFonts w:hint="eastAsia" w:ascii="仿宋_GB2312" w:eastAsia="仿宋_GB2312" w:cs="仿宋_GB2312"/>
          <w:color w:val="auto"/>
          <w:kern w:val="0"/>
          <w:sz w:val="32"/>
          <w:szCs w:val="32"/>
          <w:lang w:eastAsia="zh-CN"/>
        </w:rPr>
        <w:t>承办</w:t>
      </w:r>
      <w:r>
        <w:rPr>
          <w:rFonts w:hint="eastAsia" w:ascii="仿宋_GB2312" w:eastAsia="仿宋_GB2312" w:cs="仿宋_GB2312"/>
          <w:color w:val="auto"/>
          <w:kern w:val="0"/>
          <w:sz w:val="32"/>
          <w:szCs w:val="32"/>
        </w:rPr>
        <w:t>自治县人民政府交办的其他工作。</w:t>
      </w:r>
    </w:p>
    <w:p>
      <w:pPr>
        <w:ind w:firstLine="640" w:firstLineChars="200"/>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二、部门决算单位构成</w:t>
      </w:r>
    </w:p>
    <w:p>
      <w:pPr>
        <w:spacing w:line="460" w:lineRule="exact"/>
        <w:ind w:firstLine="543" w:firstLineChars="193"/>
        <w:rPr>
          <w:rFonts w:hint="eastAsia" w:ascii="宋体" w:hAnsi="宋体" w:cs="宋体"/>
          <w:b/>
          <w:bCs/>
          <w:color w:val="auto"/>
          <w:sz w:val="28"/>
          <w:szCs w:val="28"/>
        </w:rPr>
      </w:pPr>
      <w:r>
        <w:rPr>
          <w:rFonts w:hint="eastAsia" w:ascii="宋体" w:hAnsi="宋体" w:cs="宋体"/>
          <w:b/>
          <w:bCs/>
          <w:color w:val="auto"/>
          <w:sz w:val="28"/>
          <w:szCs w:val="28"/>
        </w:rPr>
        <w:t>（一）内设机构情况</w:t>
      </w:r>
    </w:p>
    <w:p>
      <w:pPr>
        <w:spacing w:line="460" w:lineRule="exact"/>
        <w:ind w:firstLine="617" w:firstLineChars="193"/>
        <w:rPr>
          <w:rFonts w:hint="eastAsia" w:ascii="仿宋_GB2312" w:eastAsia="仿宋_GB2312" w:cs="仿宋_GB2312"/>
          <w:color w:val="auto"/>
          <w:kern w:val="0"/>
          <w:sz w:val="32"/>
          <w:szCs w:val="32"/>
          <w:lang w:eastAsia="zh-CN"/>
        </w:rPr>
      </w:pPr>
      <w:r>
        <w:rPr>
          <w:rFonts w:hint="eastAsia" w:ascii="仿宋_GB2312" w:eastAsia="仿宋_GB2312" w:cs="仿宋_GB2312"/>
          <w:color w:val="auto"/>
          <w:kern w:val="0"/>
          <w:sz w:val="32"/>
          <w:szCs w:val="32"/>
        </w:rPr>
        <w:t>教育局有十</w:t>
      </w:r>
      <w:r>
        <w:rPr>
          <w:rFonts w:hint="eastAsia" w:ascii="仿宋_GB2312" w:eastAsia="仿宋_GB2312" w:cs="仿宋_GB2312"/>
          <w:color w:val="auto"/>
          <w:kern w:val="0"/>
          <w:sz w:val="32"/>
          <w:szCs w:val="32"/>
          <w:lang w:eastAsia="zh-CN"/>
        </w:rPr>
        <w:t>三</w:t>
      </w:r>
      <w:r>
        <w:rPr>
          <w:rFonts w:hint="eastAsia" w:ascii="仿宋_GB2312" w:eastAsia="仿宋_GB2312" w:cs="仿宋_GB2312"/>
          <w:color w:val="auto"/>
          <w:kern w:val="0"/>
          <w:sz w:val="32"/>
          <w:szCs w:val="32"/>
        </w:rPr>
        <w:t>个内设机构，分别为：行政办公室、</w:t>
      </w:r>
      <w:r>
        <w:rPr>
          <w:rFonts w:hint="eastAsia" w:ascii="仿宋_GB2312" w:eastAsia="仿宋_GB2312" w:cs="仿宋_GB2312"/>
          <w:color w:val="auto"/>
          <w:kern w:val="0"/>
          <w:sz w:val="32"/>
          <w:szCs w:val="32"/>
          <w:lang w:eastAsia="zh-CN"/>
        </w:rPr>
        <w:t>语委办</w:t>
      </w:r>
      <w:r>
        <w:rPr>
          <w:rFonts w:hint="eastAsia" w:ascii="仿宋_GB2312" w:eastAsia="仿宋_GB2312" w:cs="仿宋_GB2312"/>
          <w:color w:val="auto"/>
          <w:kern w:val="0"/>
          <w:sz w:val="32"/>
          <w:szCs w:val="32"/>
        </w:rPr>
        <w:t>、规划建设股、计划财务股、职业教育与成人教育股、教育督导室、学生营养改善办、人事股、</w:t>
      </w:r>
      <w:r>
        <w:rPr>
          <w:rFonts w:hint="eastAsia" w:ascii="仿宋_GB2312" w:eastAsia="仿宋_GB2312" w:cs="仿宋_GB2312"/>
          <w:color w:val="auto"/>
          <w:kern w:val="0"/>
          <w:sz w:val="32"/>
          <w:szCs w:val="32"/>
          <w:lang w:eastAsia="zh-CN"/>
        </w:rPr>
        <w:t>学前教育管理中心</w:t>
      </w:r>
      <w:r>
        <w:rPr>
          <w:rFonts w:hint="eastAsia" w:ascii="仿宋_GB2312" w:eastAsia="仿宋_GB2312" w:cs="仿宋_GB2312"/>
          <w:color w:val="auto"/>
          <w:kern w:val="0"/>
          <w:sz w:val="32"/>
          <w:szCs w:val="32"/>
        </w:rPr>
        <w:t>、电教站、德育室、安全办</w:t>
      </w:r>
      <w:r>
        <w:rPr>
          <w:rFonts w:hint="eastAsia" w:ascii="仿宋_GB2312" w:eastAsia="仿宋_GB2312" w:cs="仿宋_GB2312"/>
          <w:color w:val="auto"/>
          <w:kern w:val="0"/>
          <w:sz w:val="32"/>
          <w:szCs w:val="32"/>
          <w:lang w:eastAsia="zh-CN"/>
        </w:rPr>
        <w:t>、教师培训中心</w:t>
      </w:r>
      <w:r>
        <w:rPr>
          <w:rFonts w:hint="eastAsia" w:ascii="仿宋_GB2312" w:eastAsia="仿宋_GB2312" w:cs="仿宋_GB2312"/>
          <w:color w:val="auto"/>
          <w:kern w:val="0"/>
          <w:sz w:val="32"/>
          <w:szCs w:val="32"/>
        </w:rPr>
        <w:t>。</w:t>
      </w:r>
    </w:p>
    <w:p>
      <w:pPr>
        <w:spacing w:line="460" w:lineRule="exact"/>
        <w:ind w:firstLine="543" w:firstLineChars="193"/>
        <w:rPr>
          <w:rFonts w:hint="eastAsia" w:ascii="宋体" w:hAnsi="宋体" w:cs="宋体"/>
          <w:b/>
          <w:bCs/>
          <w:color w:val="auto"/>
          <w:sz w:val="28"/>
          <w:szCs w:val="28"/>
        </w:rPr>
      </w:pPr>
      <w:r>
        <w:rPr>
          <w:rFonts w:hint="eastAsia" w:ascii="宋体" w:hAnsi="宋体" w:cs="宋体"/>
          <w:b/>
          <w:bCs/>
          <w:color w:val="auto"/>
          <w:sz w:val="28"/>
          <w:szCs w:val="28"/>
        </w:rPr>
        <w:t>（二）二层机构情况</w:t>
      </w:r>
    </w:p>
    <w:p>
      <w:pPr>
        <w:ind w:firstLine="640" w:firstLineChars="200"/>
        <w:jc w:val="left"/>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仿宋_GB2312"/>
          <w:color w:val="auto"/>
          <w:kern w:val="0"/>
          <w:sz w:val="32"/>
          <w:szCs w:val="32"/>
        </w:rPr>
        <w:t>教育局有</w:t>
      </w:r>
      <w:r>
        <w:rPr>
          <w:rFonts w:hint="eastAsia" w:ascii="仿宋_GB2312" w:eastAsia="仿宋_GB2312" w:cs="仿宋_GB2312"/>
          <w:color w:val="auto"/>
          <w:kern w:val="0"/>
          <w:sz w:val="32"/>
          <w:szCs w:val="32"/>
          <w:lang w:eastAsia="zh-CN"/>
        </w:rPr>
        <w:t>六</w:t>
      </w:r>
      <w:r>
        <w:rPr>
          <w:rFonts w:hint="eastAsia" w:ascii="仿宋_GB2312" w:eastAsia="仿宋_GB2312" w:cs="仿宋_GB2312"/>
          <w:color w:val="auto"/>
          <w:kern w:val="0"/>
          <w:sz w:val="32"/>
          <w:szCs w:val="32"/>
        </w:rPr>
        <w:t>个二层机构分别为：学生资助管理中心、教育经费代管理中心、青少年校外活动中心、招生考试</w:t>
      </w:r>
      <w:r>
        <w:rPr>
          <w:rFonts w:hint="eastAsia" w:ascii="仿宋_GB2312" w:eastAsia="仿宋_GB2312" w:cs="仿宋_GB2312"/>
          <w:color w:val="auto"/>
          <w:kern w:val="0"/>
          <w:sz w:val="32"/>
          <w:szCs w:val="32"/>
          <w:lang w:eastAsia="zh-CN"/>
        </w:rPr>
        <w:t>服务中心</w:t>
      </w:r>
      <w:r>
        <w:rPr>
          <w:rFonts w:hint="eastAsia" w:ascii="仿宋_GB2312" w:eastAsia="仿宋_GB2312" w:cs="仿宋_GB2312"/>
          <w:color w:val="auto"/>
          <w:kern w:val="0"/>
          <w:sz w:val="32"/>
          <w:szCs w:val="32"/>
        </w:rPr>
        <w:t>、教育科学研究室、</w:t>
      </w:r>
      <w:r>
        <w:rPr>
          <w:rFonts w:hint="eastAsia" w:ascii="仿宋_GB2312" w:eastAsia="仿宋_GB2312" w:cs="仿宋_GB2312"/>
          <w:color w:val="auto"/>
          <w:kern w:val="0"/>
          <w:sz w:val="32"/>
          <w:szCs w:val="32"/>
          <w:lang w:eastAsia="zh-CN"/>
        </w:rPr>
        <w:t>教育综合发展中心</w:t>
      </w:r>
      <w:r>
        <w:rPr>
          <w:rFonts w:hint="eastAsia" w:ascii="仿宋_GB2312" w:eastAsia="仿宋_GB2312" w:cs="仿宋_GB2312"/>
          <w:color w:val="auto"/>
          <w:kern w:val="0"/>
          <w:sz w:val="32"/>
          <w:szCs w:val="32"/>
        </w:rPr>
        <w:t>。</w:t>
      </w:r>
    </w:p>
    <w:p>
      <w:pPr>
        <w:ind w:firstLine="1600" w:firstLineChars="5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环江毛南族自治县教育局（本级）</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11280.22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9181.14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99.76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74.81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220.96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11354.40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11354.40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11354.40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11354.40</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11354.40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11354.40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9181.14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9181.14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教育管理事务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731.29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731.29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2050101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73.90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73.90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其他教育管理事务支出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657.39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657.39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7696.53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7696.53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1078.34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1078.34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1925.73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1925.73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1114.58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1114.58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高中教育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696.48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696.48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高等教育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2702.25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2702.25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99.76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99.76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农林水支出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巩固脱贫衔接乡村振兴</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其他巩固脱贫衔接乡村振兴支出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74.81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74.81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146.78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146.78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11354.40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973.36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10381.04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12.67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12.67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12.67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9181.14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639.33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8541.81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教育管理事务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731.29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639.33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2050101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73.90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其他教育管理事务支出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657.39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565.43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91.96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7696.53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7696.53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学前教育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1078.34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1078.34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1925.73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1925.73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1114.58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1114.58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高中教育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696.48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696.48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高等教育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2702.25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2702.25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749.76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749.76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99.76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99.76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99.76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99.76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巩固脱贫衔接乡村振兴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2130599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其他巩固脱贫衔接乡村振兴支出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74.81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74.81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74.81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74.81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146.78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彩票公益金安排的支出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用于教育事业的彩票公益金支出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146.78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146.78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146.78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11280.22</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12.67</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12.67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9181.14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9181.14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99.76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99.76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1765.05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1765.05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74.81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74.81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220.96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146.78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11354.40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11354.40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11280.22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11354.40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11354.40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11280.22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74.18</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11280.22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973.36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10306.86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9181.14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639.33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8541.81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教育管理事务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731.29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639.33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91.96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2050101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73.90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其他教育管理事务支出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657.39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565.43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91.96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7696.53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7696.53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学前教育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1078.34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1078.34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1925.73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1925.73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1114.58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1114.58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高中教育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696.48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696.48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高等教育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179.14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2702.25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2702.25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749.76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749.76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99.76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99.76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1765.05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1765.05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巩固脱贫衔接乡村振兴</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1765.05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1765.05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2130599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其他巩固脱贫衔接乡村振兴支出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1765.05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1765.05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74.81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74.81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146.78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146.78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146.78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146.78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146.78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146.78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End w:id="0"/>
            <w:bookmarkStart w:id="1" w:name="OLE_LINK3"/>
            <w:bookmarkEnd w:id="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916.43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bookmarkStart w:id="2" w:name="OLE_LINK3"/>
            <w:bookmarkEnd w:id="2"/>
            <w:bookmarkStart w:id="3" w:name="OLE_LINK4"/>
            <w:bookmarkEnd w:id="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330.39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bookmarkStart w:id="4" w:name="OLE_LINK3"/>
            <w:bookmarkEnd w:id="4"/>
            <w:bookmarkStart w:id="5" w:name="OLE_LINK4"/>
            <w:bookmarkEnd w:id="5"/>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79.86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bookmarkStart w:id="6" w:name="OLE_LINK3"/>
            <w:bookmarkEnd w:id="6"/>
            <w:bookmarkStart w:id="7" w:name="OLE_LINK4"/>
            <w:bookmarkEnd w:id="7"/>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153.89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bookmarkStart w:id="8" w:name="OLE_LINK3"/>
            <w:bookmarkEnd w:id="8"/>
            <w:bookmarkStart w:id="9" w:name="OLE_LINK4"/>
            <w:bookmarkEnd w:id="9"/>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bookmarkStart w:id="10" w:name="OLE_LINK4"/>
            <w:bookmarkEnd w:id="10"/>
            <w:bookmarkStart w:id="11" w:name="OLE_LINK3"/>
            <w:bookmarkEnd w:id="1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bookmarkStart w:id="12" w:name="OLE_LINK4"/>
            <w:bookmarkEnd w:id="12"/>
            <w:bookmarkStart w:id="13" w:name="OLE_LINK3"/>
            <w:bookmarkEnd w:id="1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99.84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bookmarkStart w:id="14" w:name="OLE_LINK3"/>
            <w:bookmarkEnd w:id="14"/>
            <w:bookmarkStart w:id="15" w:name="OLE_LINK4"/>
            <w:bookmarkEnd w:id="15"/>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0.89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bookmarkStart w:id="16" w:name="OLE_LINK3"/>
            <w:bookmarkEnd w:id="16"/>
            <w:bookmarkStart w:id="17" w:name="OLE_LINK4"/>
            <w:bookmarkEnd w:id="17"/>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bookmarkStart w:id="18" w:name="OLE_LINK3"/>
            <w:bookmarkEnd w:id="18"/>
            <w:bookmarkStart w:id="19" w:name="OLE_LINK4"/>
            <w:bookmarkEnd w:id="19"/>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bookmarkStart w:id="20" w:name="OLE_LINK3"/>
            <w:bookmarkEnd w:id="20"/>
            <w:bookmarkStart w:id="21" w:name="OLE_LINK4"/>
            <w:bookmarkEnd w:id="2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bookmarkStart w:id="22" w:name="OLE_LINK3"/>
            <w:bookmarkEnd w:id="22"/>
            <w:bookmarkStart w:id="23" w:name="OLE_LINK4"/>
            <w:bookmarkEnd w:id="2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bookmarkStart w:id="24" w:name="OLE_LINK4"/>
            <w:bookmarkEnd w:id="24"/>
            <w:bookmarkStart w:id="25" w:name="OLE_LINK3"/>
            <w:bookmarkEnd w:id="25"/>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bookmarkStart w:id="26" w:name="OLE_LINK3"/>
            <w:bookmarkEnd w:id="26"/>
            <w:bookmarkStart w:id="27" w:name="OLE_LINK4"/>
            <w:bookmarkEnd w:id="27"/>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bookmarkStart w:id="28" w:name="OLE_LINK3"/>
            <w:bookmarkEnd w:id="28"/>
            <w:bookmarkStart w:id="29" w:name="OLE_LINK4"/>
            <w:bookmarkEnd w:id="29"/>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bookmarkStart w:id="30" w:name="OLE_LINK4"/>
            <w:bookmarkEnd w:id="30"/>
            <w:bookmarkStart w:id="31" w:name="OLE_LINK3"/>
            <w:bookmarkEnd w:id="3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bookmarkStart w:id="32" w:name="OLE_LINK4"/>
            <w:bookmarkEnd w:id="32"/>
            <w:bookmarkStart w:id="33" w:name="OLE_LINK3"/>
            <w:bookmarkEnd w:id="3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bookmarkStart w:id="34" w:name="OLE_LINK3"/>
            <w:bookmarkEnd w:id="34"/>
            <w:bookmarkStart w:id="35" w:name="OLE_LINK4"/>
            <w:bookmarkEnd w:id="35"/>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bookmarkStart w:id="36" w:name="OLE_LINK4"/>
            <w:bookmarkEnd w:id="36"/>
            <w:bookmarkStart w:id="37" w:name="OLE_LINK3"/>
            <w:bookmarkEnd w:id="37"/>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9.78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bookmarkStart w:id="38" w:name="OLE_LINK3"/>
            <w:bookmarkEnd w:id="38"/>
            <w:bookmarkStart w:id="39" w:name="OLE_LINK4"/>
            <w:bookmarkEnd w:id="39"/>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33.55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bookmarkStart w:id="40" w:name="OLE_LINK4"/>
            <w:bookmarkEnd w:id="40"/>
            <w:bookmarkStart w:id="41" w:name="OLE_LINK3"/>
            <w:bookmarkEnd w:id="4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bookmarkStart w:id="42" w:name="OLE_LINK4"/>
            <w:bookmarkEnd w:id="42"/>
            <w:bookmarkStart w:id="43" w:name="OLE_LINK3"/>
            <w:bookmarkEnd w:id="4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bookmarkStart w:id="44" w:name="OLE_LINK3"/>
            <w:bookmarkEnd w:id="44"/>
            <w:bookmarkStart w:id="45" w:name="OLE_LINK4"/>
            <w:bookmarkEnd w:id="45"/>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12.67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bookmarkStart w:id="46" w:name="OLE_LINK4"/>
            <w:bookmarkEnd w:id="46"/>
            <w:bookmarkStart w:id="47" w:name="OLE_LINK3"/>
            <w:bookmarkEnd w:id="47"/>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bookmarkStart w:id="48" w:name="OLE_LINK3"/>
            <w:bookmarkEnd w:id="48"/>
            <w:bookmarkStart w:id="49" w:name="OLE_LINK4"/>
            <w:bookmarkEnd w:id="49"/>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bookmarkStart w:id="50" w:name="OLE_LINK3"/>
            <w:bookmarkEnd w:id="50"/>
            <w:bookmarkStart w:id="51" w:name="OLE_LINK4"/>
            <w:bookmarkEnd w:id="51"/>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bookmarkStart w:id="52" w:name="OLE_LINK4"/>
            <w:bookmarkEnd w:id="52"/>
            <w:bookmarkStart w:id="53" w:name="OLE_LINK3"/>
            <w:bookmarkEnd w:id="5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bookmarkStart w:id="54" w:name="OLE_LINK3"/>
            <w:bookmarkEnd w:id="54"/>
            <w:bookmarkStart w:id="55" w:name="OLE_LINK4"/>
            <w:bookmarkEnd w:id="55"/>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bookmarkStart w:id="56" w:name="OLE_LINK3"/>
            <w:bookmarkEnd w:id="56"/>
            <w:bookmarkStart w:id="57" w:name="OLE_LINK4"/>
            <w:bookmarkEnd w:id="57"/>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959.79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13.56</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74.18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74.18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74.18</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其他支出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74.18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74.18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74.18</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彩票公益金安排的支出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74.18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74.18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74.18</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2296004</w:t>
            </w: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用于教育事业的彩票公益金支出</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74.18</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74.18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74.18</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19" w:type="dxa"/>
        <w:tblInd w:w="0" w:type="dxa"/>
        <w:tblLayout w:type="fixed"/>
        <w:tblCellMar>
          <w:top w:w="0" w:type="dxa"/>
          <w:left w:w="108" w:type="dxa"/>
          <w:bottom w:w="0" w:type="dxa"/>
          <w:right w:w="108" w:type="dxa"/>
        </w:tblCellMar>
      </w:tblPr>
      <w:tblGrid>
        <w:gridCol w:w="1534"/>
        <w:gridCol w:w="1425"/>
        <w:gridCol w:w="1094"/>
        <w:gridCol w:w="1159"/>
        <w:gridCol w:w="1133"/>
        <w:gridCol w:w="1040"/>
        <w:gridCol w:w="1066"/>
        <w:gridCol w:w="1161"/>
        <w:gridCol w:w="1053"/>
        <w:gridCol w:w="1148"/>
        <w:gridCol w:w="1133"/>
        <w:gridCol w:w="1073"/>
      </w:tblGrid>
      <w:tr>
        <w:tblPrEx>
          <w:tblCellMar>
            <w:top w:w="0" w:type="dxa"/>
            <w:left w:w="108" w:type="dxa"/>
            <w:bottom w:w="0" w:type="dxa"/>
            <w:right w:w="108" w:type="dxa"/>
          </w:tblCellMar>
        </w:tblPrEx>
        <w:trPr>
          <w:trHeight w:val="632" w:hRule="atLeast"/>
        </w:trPr>
        <w:tc>
          <w:tcPr>
            <w:tcW w:w="14019"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trHeight w:val="316" w:hRule="atLeast"/>
        </w:trPr>
        <w:tc>
          <w:tcPr>
            <w:tcW w:w="153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316" w:hRule="atLeast"/>
        </w:trPr>
        <w:tc>
          <w:tcPr>
            <w:tcW w:w="7385"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环江毛南族自治县教育局（本级）</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6" w:hRule="atLeast"/>
        </w:trPr>
        <w:tc>
          <w:tcPr>
            <w:tcW w:w="73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rPr>
          <w:trHeight w:val="326" w:hRule="atLeast"/>
        </w:trPr>
        <w:tc>
          <w:tcPr>
            <w:tcW w:w="1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trHeight w:val="642" w:hRule="atLeast"/>
        </w:trPr>
        <w:tc>
          <w:tcPr>
            <w:tcW w:w="153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959" w:hRule="atLeast"/>
        </w:trPr>
        <w:tc>
          <w:tcPr>
            <w:tcW w:w="1534"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trHeight w:val="642" w:hRule="atLeast"/>
        </w:trPr>
        <w:tc>
          <w:tcPr>
            <w:tcW w:w="153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0.95</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0.95</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0.90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0.90</w:t>
            </w:r>
          </w:p>
        </w:tc>
      </w:tr>
      <w:tr>
        <w:tblPrEx>
          <w:tblCellMar>
            <w:top w:w="0" w:type="dxa"/>
            <w:left w:w="108" w:type="dxa"/>
            <w:bottom w:w="0" w:type="dxa"/>
            <w:right w:w="108" w:type="dxa"/>
          </w:tblCellMar>
        </w:tblPrEx>
        <w:trPr>
          <w:trHeight w:val="642" w:hRule="atLeast"/>
        </w:trPr>
        <w:tc>
          <w:tcPr>
            <w:tcW w:w="14019"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jc w:val="left"/>
        <w:rPr>
          <w:rFonts w:ascii="仿宋" w:hAnsi="仿宋" w:eastAsia="仿宋" w:cs="仿宋"/>
          <w:sz w:val="24"/>
          <w:highlight w:val="none"/>
        </w:rPr>
        <w:sectPr>
          <w:pgSz w:w="16838" w:h="11906" w:orient="landscape"/>
          <w:pgMar w:top="1440" w:right="1440" w:bottom="144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环江毛南族自治县教育局（本级）</w:t>
      </w:r>
      <w:r>
        <w:rPr>
          <w:rFonts w:hint="eastAsia" w:ascii="黑体" w:hAnsi="黑体" w:eastAsia="黑体" w:cs="黑体"/>
          <w:sz w:val="32"/>
          <w:szCs w:val="32"/>
          <w:highlight w:val="none"/>
        </w:rPr>
        <w:t>2022年度部门决算情况说明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11354.40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减少3310.41</w:t>
      </w:r>
      <w:r>
        <w:rPr>
          <w:rFonts w:hint="eastAsia" w:ascii="仿宋" w:hAnsi="仿宋" w:eastAsia="仿宋" w:cs="仿宋"/>
          <w:sz w:val="32"/>
          <w:szCs w:val="32"/>
          <w:highlight w:val="none"/>
        </w:rPr>
        <w:t>万元，</w:t>
      </w:r>
      <w:r>
        <w:rPr>
          <w:rFonts w:ascii="仿宋" w:hAnsi="仿宋" w:eastAsia="仿宋" w:cs="仿宋"/>
          <w:sz w:val="32"/>
          <w:u w:color="auto"/>
        </w:rPr>
        <w:t>下降22.57%</w:t>
      </w:r>
      <w:r>
        <w:rPr>
          <w:rFonts w:hint="eastAsia" w:ascii="仿宋" w:hAnsi="仿宋" w:eastAsia="仿宋" w:cs="仿宋"/>
          <w:sz w:val="32"/>
          <w:szCs w:val="32"/>
          <w:highlight w:val="none"/>
        </w:rPr>
        <w:t>，其中本年收入</w:t>
      </w:r>
      <w:r>
        <w:rPr>
          <w:rFonts w:ascii="仿宋" w:hAnsi="仿宋" w:eastAsia="仿宋" w:cs="仿宋"/>
          <w:sz w:val="32"/>
          <w:u w:color="auto"/>
        </w:rPr>
        <w:t>11354.40</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11280.22</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增加3760.71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增长50.01%</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上级专项收入增加。</w:t>
      </w:r>
    </w:p>
    <w:p>
      <w:pPr>
        <w:keepNext w:val="0"/>
        <w:keepLines w:val="0"/>
        <w:widowControl w:val="0"/>
        <w:suppressLineNumbers w:val="0"/>
        <w:spacing w:before="0" w:beforeAutospacing="0" w:after="0" w:afterAutospacing="0"/>
        <w:ind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74.17</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增加74.17</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本年度有政府性基金预算财政拨款收入。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5.事业收入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w:t>
      </w:r>
      <w:r>
        <w:rPr>
          <w:rFonts w:hint="eastAsia" w:ascii="仿宋" w:hAnsi="仿宋" w:eastAsia="仿宋" w:cs="仿宋"/>
          <w:color w:val="auto"/>
          <w:kern w:val="2"/>
          <w:sz w:val="36"/>
          <w:szCs w:val="36"/>
          <w:highlight w:val="none"/>
          <w:lang w:val="en-US" w:eastAsia="zh-CN" w:bidi="ar"/>
        </w:rPr>
        <w:t>经营收入</w:t>
      </w:r>
      <w:r>
        <w:rPr>
          <w:rFonts w:hint="eastAsia" w:ascii="仿宋" w:hAnsi="仿宋" w:eastAsia="仿宋" w:cs="仿宋"/>
          <w:color w:val="auto"/>
          <w:kern w:val="2"/>
          <w:sz w:val="32"/>
          <w:szCs w:val="32"/>
          <w:highlight w:val="none"/>
          <w:lang w:val="en-US" w:eastAsia="zh-CN" w:bidi="ar"/>
        </w:rPr>
        <w:t>0.00万,本单位没有经营性收入。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hint="eastAsia" w:ascii="仿宋" w:hAnsi="仿宋" w:eastAsia="仿宋" w:cs="仿宋"/>
          <w:color w:val="auto"/>
          <w:sz w:val="32"/>
          <w:u w:color="auto"/>
          <w:lang w:val="en-US" w:eastAsia="zh-CN"/>
        </w:rPr>
        <w:t>0</w:t>
      </w:r>
      <w:r>
        <w:rPr>
          <w:rFonts w:hint="eastAsia" w:ascii="仿宋" w:hAnsi="仿宋" w:eastAsia="仿宋" w:cs="仿宋"/>
          <w:color w:val="auto"/>
          <w:kern w:val="2"/>
          <w:sz w:val="32"/>
          <w:szCs w:val="32"/>
          <w:highlight w:val="none"/>
          <w:lang w:val="en-US" w:eastAsia="zh-CN" w:bidi="ar"/>
        </w:rPr>
        <w:t>万元,本单位没有其他收入。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color w:val="auto"/>
          <w:kern w:val="2"/>
          <w:sz w:val="32"/>
          <w:szCs w:val="32"/>
          <w:highlight w:val="none"/>
          <w:lang w:val="en-US" w:eastAsia="zh-CN" w:bidi="ar"/>
        </w:rPr>
        <w:t>9.使用非财政拨款结余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减少7145.30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51425" cy="3038475"/>
            <wp:effectExtent l="4445" t="4445" r="11430" b="508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11354.40</w:t>
      </w:r>
      <w:r>
        <w:rPr>
          <w:rFonts w:hint="eastAsia" w:ascii="仿宋" w:hAnsi="仿宋" w:eastAsia="仿宋" w:cs="仿宋"/>
          <w:sz w:val="32"/>
          <w:szCs w:val="32"/>
          <w:highlight w:val="none"/>
        </w:rPr>
        <w:t>万元，其中本年支出</w:t>
      </w:r>
      <w:r>
        <w:rPr>
          <w:rFonts w:ascii="仿宋" w:hAnsi="仿宋" w:eastAsia="仿宋" w:cs="仿宋"/>
          <w:sz w:val="32"/>
          <w:u w:color="auto"/>
        </w:rPr>
        <w:t>11354.40</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减少3310.41</w:t>
      </w:r>
      <w:r>
        <w:rPr>
          <w:rFonts w:hint="eastAsia" w:ascii="仿宋" w:hAnsi="仿宋" w:eastAsia="仿宋" w:cs="仿宋"/>
          <w:sz w:val="32"/>
          <w:szCs w:val="32"/>
          <w:highlight w:val="none"/>
        </w:rPr>
        <w:t>万元，</w:t>
      </w:r>
      <w:r>
        <w:rPr>
          <w:rFonts w:ascii="仿宋" w:hAnsi="仿宋" w:eastAsia="仿宋" w:cs="仿宋"/>
          <w:sz w:val="32"/>
          <w:u w:color="auto"/>
        </w:rPr>
        <w:t>下降22.57%</w:t>
      </w:r>
      <w:r>
        <w:rPr>
          <w:rFonts w:hint="eastAsia" w:ascii="仿宋" w:hAnsi="仿宋" w:eastAsia="仿宋" w:cs="仿宋"/>
          <w:sz w:val="32"/>
          <w:szCs w:val="32"/>
          <w:highlight w:val="none"/>
        </w:rPr>
        <w:t>。支出具体情况如下：</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12.67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工会经费支出</w:t>
      </w:r>
      <w:r>
        <w:rPr>
          <w:rFonts w:hint="eastAsia" w:ascii="仿宋" w:hAnsi="仿宋" w:eastAsia="仿宋" w:cs="仿宋"/>
          <w:color w:val="auto"/>
          <w:sz w:val="32"/>
          <w:szCs w:val="32"/>
          <w:highlight w:val="none"/>
        </w:rPr>
        <w:t>。较</w:t>
      </w:r>
      <w:r>
        <w:rPr>
          <w:rFonts w:hint="eastAsia" w:ascii="仿宋" w:hAnsi="仿宋" w:eastAsia="仿宋" w:cs="仿宋"/>
          <w:sz w:val="32"/>
          <w:szCs w:val="32"/>
          <w:highlight w:val="none"/>
        </w:rPr>
        <w:t>2021年度决算数</w:t>
      </w:r>
      <w:r>
        <w:rPr>
          <w:rFonts w:hint="eastAsia" w:ascii="仿宋" w:hAnsi="仿宋" w:eastAsia="仿宋" w:cs="仿宋"/>
          <w:sz w:val="32"/>
          <w:szCs w:val="32"/>
          <w:highlight w:val="none"/>
          <w:lang w:bidi="ar"/>
        </w:rPr>
        <w:t>减少18.52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下降59.38%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sz w:val="32"/>
          <w:szCs w:val="32"/>
          <w:highlight w:val="none"/>
          <w:lang w:val="en-US" w:eastAsia="zh-CN"/>
        </w:rPr>
        <w:t>本年度各项支出有所减少。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9181.14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教育局本级人员工资福利支出、日常办公支出、教师培训支出、学校房屋建筑物购建、设备购置等</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减少3786.89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下降29.20%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本年度各项支出有所减少。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99.76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教育局本级干部职工“五险”支出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增加19.91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增长24.93%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本年度无人退休，缴纳基数提高，缴纳“五险”比去年有所增加。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1765.05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东西协作广东帮扶资金支持教育的支出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增加433.22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增长32.53%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2022年广东帮扶资金投向有所增加。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74.81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教育局本级人员住房公积金支出</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增加1.44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增长1.96%</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公积金基数提高。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6</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220.96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主要用于2022年绩效考评奖励金支出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增加40.42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增长22.39%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奖励基数比去年有所提高。</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ascii="仿宋" w:hAnsi="仿宋" w:eastAsia="仿宋" w:cs="仿宋"/>
          <w:color w:val="auto"/>
          <w:sz w:val="32"/>
          <w:u w:color="auto"/>
        </w:rPr>
        <w:t>%</w:t>
      </w:r>
      <w:r>
        <w:rPr>
          <w:rFonts w:hint="eastAsia" w:ascii="仿宋" w:hAnsi="仿宋" w:eastAsia="仿宋" w:cs="仿宋"/>
          <w:color w:val="auto"/>
          <w:kern w:val="2"/>
          <w:sz w:val="32"/>
          <w:szCs w:val="32"/>
          <w:highlight w:val="none"/>
          <w:lang w:val="en-US" w:eastAsia="zh-CN" w:bidi="ar"/>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98975" cy="2708275"/>
            <wp:effectExtent l="4445" t="4445" r="1143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58" w:name="OLE_LINK1"/>
      <w:r>
        <w:rPr>
          <w:rFonts w:hint="eastAsia" w:ascii="黑体" w:hAnsi="黑体" w:eastAsia="黑体" w:cs="黑体"/>
          <w:sz w:val="32"/>
          <w:szCs w:val="32"/>
          <w:highlight w:val="none"/>
        </w:rPr>
        <w:t>一般公共预算财政拨款支出决算情况</w:t>
      </w:r>
      <w:bookmarkEnd w:id="58"/>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环江毛南族自治县教育局（本级）2022年度一般公共预算财政拨款支出</w:t>
      </w:r>
      <w:r>
        <w:rPr>
          <w:rFonts w:ascii="仿宋" w:hAnsi="仿宋" w:eastAsia="仿宋" w:cs="仿宋"/>
          <w:sz w:val="32"/>
          <w:u w:color="auto"/>
        </w:rPr>
        <w:t>11280.22</w:t>
      </w:r>
      <w:r>
        <w:rPr>
          <w:rFonts w:hint="eastAsia" w:ascii="仿宋" w:hAnsi="仿宋" w:eastAsia="仿宋" w:cs="仿宋"/>
          <w:sz w:val="32"/>
          <w:szCs w:val="32"/>
          <w:highlight w:val="none"/>
        </w:rPr>
        <w:t>万元，较2021年度决算数</w:t>
      </w:r>
      <w:r>
        <w:rPr>
          <w:rFonts w:ascii="仿宋" w:hAnsi="仿宋" w:eastAsia="仿宋" w:cs="仿宋"/>
          <w:sz w:val="32"/>
          <w:u w:color="auto"/>
        </w:rPr>
        <w:t>减少3384.59</w:t>
      </w:r>
      <w:r>
        <w:rPr>
          <w:rFonts w:hint="eastAsia" w:ascii="仿宋" w:hAnsi="仿宋" w:eastAsia="仿宋" w:cs="仿宋"/>
          <w:sz w:val="32"/>
          <w:szCs w:val="32"/>
          <w:highlight w:val="none"/>
        </w:rPr>
        <w:t>万元，</w:t>
      </w:r>
      <w:r>
        <w:rPr>
          <w:rFonts w:ascii="仿宋" w:hAnsi="仿宋" w:eastAsia="仿宋" w:cs="仿宋"/>
          <w:sz w:val="32"/>
          <w:u w:color="auto"/>
        </w:rPr>
        <w:t>下降23.08%</w:t>
      </w:r>
      <w:r>
        <w:rPr>
          <w:rFonts w:hint="eastAsia" w:ascii="仿宋" w:hAnsi="仿宋" w:eastAsia="仿宋" w:cs="仿宋"/>
          <w:sz w:val="32"/>
          <w:szCs w:val="32"/>
          <w:highlight w:val="none"/>
        </w:rPr>
        <w:t>。其中：基本支出</w:t>
      </w:r>
      <w:r>
        <w:rPr>
          <w:rFonts w:ascii="仿宋" w:hAnsi="仿宋" w:eastAsia="仿宋" w:cs="仿宋"/>
          <w:sz w:val="32"/>
          <w:u w:color="auto"/>
        </w:rPr>
        <w:t>973.36</w:t>
      </w:r>
      <w:r>
        <w:rPr>
          <w:rFonts w:hint="eastAsia" w:ascii="仿宋" w:hAnsi="仿宋" w:eastAsia="仿宋" w:cs="仿宋"/>
          <w:sz w:val="32"/>
          <w:szCs w:val="32"/>
          <w:highlight w:val="none"/>
        </w:rPr>
        <w:t>万元，项目支出</w:t>
      </w:r>
      <w:r>
        <w:rPr>
          <w:rFonts w:ascii="仿宋" w:hAnsi="仿宋" w:eastAsia="仿宋" w:cs="仿宋"/>
          <w:sz w:val="32"/>
          <w:u w:color="auto"/>
        </w:rPr>
        <w:t>10306.86</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环江毛南族自治县教育局（本级）2022 年度一般公共预算财政拨款支出年初预算为</w:t>
      </w:r>
      <w:r>
        <w:rPr>
          <w:rFonts w:ascii="仿宋" w:hAnsi="仿宋" w:eastAsia="仿宋" w:cs="仿宋"/>
          <w:sz w:val="32"/>
          <w:u w:color="auto"/>
        </w:rPr>
        <w:t>4256.46</w:t>
      </w:r>
      <w:r>
        <w:rPr>
          <w:rFonts w:hint="eastAsia" w:ascii="仿宋" w:hAnsi="仿宋" w:eastAsia="仿宋" w:cs="仿宋"/>
          <w:sz w:val="32"/>
          <w:szCs w:val="32"/>
          <w:highlight w:val="none"/>
        </w:rPr>
        <w:t>万元，支出决算为</w:t>
      </w:r>
      <w:r>
        <w:rPr>
          <w:rFonts w:ascii="仿宋" w:hAnsi="仿宋" w:eastAsia="仿宋" w:cs="仿宋"/>
          <w:sz w:val="32"/>
          <w:u w:color="auto"/>
        </w:rPr>
        <w:t>11280.22</w:t>
      </w:r>
      <w:r>
        <w:rPr>
          <w:rFonts w:hint="eastAsia" w:ascii="仿宋" w:hAnsi="仿宋" w:eastAsia="仿宋" w:cs="仿宋"/>
          <w:sz w:val="32"/>
          <w:szCs w:val="32"/>
          <w:highlight w:val="none"/>
        </w:rPr>
        <w:t>万元，完成年初预算的</w:t>
      </w:r>
      <w:r>
        <w:rPr>
          <w:rFonts w:ascii="仿宋" w:hAnsi="仿宋" w:eastAsia="仿宋" w:cs="仿宋"/>
          <w:sz w:val="32"/>
          <w:u w:color="auto"/>
        </w:rPr>
        <w:t>265.01%</w:t>
      </w:r>
      <w:r>
        <w:rPr>
          <w:rFonts w:hint="eastAsia" w:ascii="仿宋" w:hAnsi="仿宋" w:eastAsia="仿宋" w:cs="仿宋"/>
          <w:sz w:val="32"/>
          <w:szCs w:val="32"/>
          <w:highlight w:val="none"/>
        </w:rPr>
        <w:t>。</w:t>
      </w:r>
      <w:bookmarkStart w:id="59" w:name="OLE_LINK2"/>
      <w:bookmarkEnd w:id="59"/>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12.67</w:t>
      </w:r>
      <w:r>
        <w:rPr>
          <w:rFonts w:hint="eastAsia" w:ascii="仿宋" w:hAnsi="仿宋" w:eastAsia="仿宋"/>
          <w:sz w:val="32"/>
          <w:szCs w:val="32"/>
          <w:highlight w:val="none"/>
        </w:rPr>
        <w:t>万元，支出决算为</w:t>
      </w:r>
      <w:r>
        <w:rPr>
          <w:rFonts w:ascii="仿宋" w:hAnsi="仿宋" w:eastAsia="仿宋"/>
          <w:sz w:val="32"/>
          <w:szCs w:val="32"/>
          <w:highlight w:val="none"/>
        </w:rPr>
        <w:t>12.67</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无差异</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12.67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12.67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4066.37</w:t>
      </w:r>
      <w:r>
        <w:rPr>
          <w:rFonts w:hint="eastAsia" w:ascii="仿宋" w:hAnsi="仿宋" w:eastAsia="仿宋"/>
          <w:sz w:val="32"/>
          <w:szCs w:val="32"/>
          <w:highlight w:val="none"/>
        </w:rPr>
        <w:t>万元，支出决算为</w:t>
      </w:r>
      <w:r>
        <w:rPr>
          <w:rFonts w:ascii="仿宋" w:hAnsi="仿宋" w:eastAsia="仿宋"/>
          <w:sz w:val="32"/>
          <w:szCs w:val="32"/>
          <w:highlight w:val="none"/>
        </w:rPr>
        <w:t>9181.14</w:t>
      </w:r>
      <w:r>
        <w:rPr>
          <w:rFonts w:hint="eastAsia" w:ascii="仿宋" w:hAnsi="仿宋" w:eastAsia="仿宋"/>
          <w:sz w:val="32"/>
          <w:szCs w:val="32"/>
          <w:highlight w:val="none"/>
        </w:rPr>
        <w:t>万元，完成年初预算的</w:t>
      </w:r>
      <w:r>
        <w:rPr>
          <w:rFonts w:ascii="仿宋" w:hAnsi="仿宋" w:eastAsia="仿宋"/>
          <w:sz w:val="32"/>
          <w:szCs w:val="32"/>
          <w:highlight w:val="none"/>
        </w:rPr>
        <w:t>225.78%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办公等支出略有减少、房屋建筑物购建支出增加、其他普通教育教学活动支出增加等</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73.90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73.90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事业单位职工工资福利支出、日常办公支出等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办公等支出略有减少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其他教育管理事务支出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661.77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657.39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99.34%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学前教育生均、免保教、房屋建筑物购建、办公设备购置、基础设施建设等支出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房屋建筑物购建支出增加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学前教育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440.15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1078.34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244.99%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小学寄宿生补助、房屋建筑物购建、办公设备购置、基础设施建设等支出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房屋建筑物购建支出增加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20.87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1925.73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9227.26%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初中寄宿生、房屋建筑物购建等支出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房屋建筑物购建支出增加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94.45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1114.58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1180.07%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普通高中生均、助学金、房屋建筑物购建、委托业务等支出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房屋建筑物购建支出减少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高中教育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869.66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696.48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80.09%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事业单位职工工资福利支出、日常办公支出等</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办公等支出略有减少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高等教育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179.14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高等学校毕业生学费和国家助学贷款补偿学生资助资金支出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年初未预算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1003.46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2702.25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269.29%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其他普通教育教学活动支出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其他普通教育教学活动支出增加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845.68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749.76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88.66%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校园安全保卫经费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校园安全保卫经费支出减少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3.56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教育局慈善晚会经费支出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color w:val="auto"/>
                <w:kern w:val="0"/>
                <w:sz w:val="16"/>
                <w:szCs w:val="16"/>
                <w:u w:val="none"/>
                <w:lang w:val="en-US" w:eastAsia="zh-CN" w:bidi="ar"/>
              </w:rPr>
              <w:t>年初未预算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4066.37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9181.14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59050"/>
            <wp:effectExtent l="4445" t="4445" r="16510" b="825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101.38</w:t>
      </w:r>
      <w:r>
        <w:rPr>
          <w:rFonts w:hint="eastAsia" w:ascii="仿宋" w:hAnsi="仿宋" w:eastAsia="仿宋"/>
          <w:sz w:val="32"/>
          <w:szCs w:val="32"/>
          <w:highlight w:val="none"/>
        </w:rPr>
        <w:t>万元，支出决算为</w:t>
      </w:r>
      <w:r>
        <w:rPr>
          <w:rFonts w:ascii="仿宋" w:hAnsi="仿宋" w:eastAsia="仿宋"/>
          <w:sz w:val="32"/>
          <w:szCs w:val="32"/>
          <w:highlight w:val="none"/>
        </w:rPr>
        <w:t>99.76</w:t>
      </w:r>
      <w:r>
        <w:rPr>
          <w:rFonts w:hint="eastAsia" w:ascii="仿宋" w:hAnsi="仿宋" w:eastAsia="仿宋"/>
          <w:sz w:val="32"/>
          <w:szCs w:val="32"/>
          <w:highlight w:val="none"/>
        </w:rPr>
        <w:t>万元，完成年初预算的</w:t>
      </w:r>
      <w:r>
        <w:rPr>
          <w:rFonts w:ascii="仿宋" w:hAnsi="仿宋" w:eastAsia="仿宋"/>
          <w:sz w:val="32"/>
          <w:szCs w:val="32"/>
          <w:highlight w:val="none"/>
        </w:rPr>
        <w:t>98.40%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olor w:val="auto"/>
          <w:sz w:val="32"/>
          <w:szCs w:val="32"/>
          <w:highlight w:val="none"/>
          <w:lang w:val="en-US" w:eastAsia="zh-CN"/>
        </w:rPr>
        <w:t>缴纳基数有变化，预算数略大</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99.76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98.40%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教育局本级基本养老保险缴费支出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宋体" w:hAnsi="宋体" w:eastAsia="宋体" w:cs="宋体"/>
                <w:i w:val="0"/>
                <w:iCs w:val="0"/>
                <w:color w:val="auto"/>
                <w:sz w:val="18"/>
                <w:szCs w:val="18"/>
                <w:highlight w:val="none"/>
                <w:u w:val="none"/>
                <w:lang w:val="en-US" w:eastAsia="zh-CN"/>
              </w:rPr>
              <w:t>缴纳基数有变化，预算数略大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99.76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1765.05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年初未预算。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1765.05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东西协作广东帮扶资金支持教育的支出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年初未预算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1765.05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76.04</w:t>
      </w:r>
      <w:r>
        <w:rPr>
          <w:rFonts w:hint="eastAsia" w:ascii="仿宋" w:hAnsi="仿宋" w:eastAsia="仿宋"/>
          <w:sz w:val="32"/>
          <w:szCs w:val="32"/>
          <w:highlight w:val="none"/>
        </w:rPr>
        <w:t>万元，支出决算为</w:t>
      </w:r>
      <w:r>
        <w:rPr>
          <w:rFonts w:ascii="仿宋" w:hAnsi="仿宋" w:eastAsia="仿宋"/>
          <w:sz w:val="32"/>
          <w:szCs w:val="32"/>
          <w:highlight w:val="none"/>
        </w:rPr>
        <w:t>74.81</w:t>
      </w:r>
      <w:r>
        <w:rPr>
          <w:rFonts w:hint="eastAsia" w:ascii="仿宋" w:hAnsi="仿宋" w:eastAsia="仿宋"/>
          <w:sz w:val="32"/>
          <w:szCs w:val="32"/>
          <w:highlight w:val="none"/>
        </w:rPr>
        <w:t>万元，完成年初预算的</w:t>
      </w:r>
      <w:r>
        <w:rPr>
          <w:rFonts w:ascii="仿宋" w:hAnsi="仿宋" w:eastAsia="仿宋"/>
          <w:sz w:val="32"/>
          <w:szCs w:val="32"/>
          <w:highlight w:val="none"/>
        </w:rPr>
        <w:t>98.38%</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缴纳基数有变化，预算数略大。</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74.81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98.38%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教育局本级住房公积金缴纳</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缴纳基数有变化，预算数略大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76.04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74.81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146.78</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年初没有预算。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2"/>
                <w:szCs w:val="22"/>
                <w:u w:val="none"/>
                <w:lang w:val="en-US" w:eastAsia="zh-CN" w:bidi="ar"/>
              </w:rPr>
              <w:t>2296004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color w:val="auto"/>
                <w:kern w:val="0"/>
                <w:sz w:val="22"/>
                <w:szCs w:val="22"/>
                <w:u w:val="none"/>
                <w:lang w:val="en-US" w:eastAsia="zh-CN" w:bidi="ar"/>
              </w:rPr>
              <w:t xml:space="preserve">  用于教育事业的彩票公益金支出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74.18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设备购置</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年初没有预算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  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146.78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绩效考评奖金、奖励性补贴发放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auto"/>
                <w:sz w:val="18"/>
                <w:szCs w:val="18"/>
                <w:highlight w:val="none"/>
                <w:lang w:val="en-US" w:eastAsia="zh-CN"/>
              </w:rPr>
            </w:pPr>
            <w:r>
              <w:rPr>
                <w:rFonts w:hint="eastAsia" w:ascii="宋体" w:hAnsi="宋体" w:eastAsia="宋体" w:cs="宋体"/>
                <w:i w:val="0"/>
                <w:iCs w:val="0"/>
                <w:color w:val="auto"/>
                <w:sz w:val="18"/>
                <w:szCs w:val="18"/>
                <w:highlight w:val="none"/>
                <w:u w:val="none"/>
                <w:lang w:val="en-US" w:eastAsia="zh-CN"/>
              </w:rPr>
              <w:t>年初没有预算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220.96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color w:val="auto"/>
        </w:rPr>
        <w:drawing>
          <wp:inline distT="0" distB="0" distL="114300" distR="114300">
            <wp:extent cx="4572000" cy="2743200"/>
            <wp:effectExtent l="4445" t="4445" r="1460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环江毛南族自治县教育局（本级）2022年度一般公共预算财政拨款基本支出</w:t>
      </w:r>
      <w:r>
        <w:rPr>
          <w:rFonts w:ascii="仿宋" w:hAnsi="仿宋" w:eastAsia="仿宋" w:cs="仿宋"/>
          <w:sz w:val="32"/>
          <w:u w:color="auto"/>
        </w:rPr>
        <w:t>973.36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959.79</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13.56</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916.43万元，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121.44%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年初伙食补助未预算，整体工资基数增加。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330.39万元，30102津贴补贴79.86万元，30103奖金153.89万元，30106伙食补助费11.00万元，30107绩效工资111.39万元，30108机关事业单位基本养老保险缴费99.84万元，30110职工基本医疗保险缴费40.85万元，30112其他社会保障缴费8.24万元，30113住房公积金74.81万元，30199其他工资福利支出6.15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13.56万元，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39.78%</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办公费用减少。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30207邮电费0.89万元，30228工会经费12.67万元。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43.37万元，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132.31%</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本年度有抚恤金支出，年初没有预算。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30304抚恤金9.78万元，30305生活补助33.55万元，30309奖励金0.04万元。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53665"/>
            <wp:effectExtent l="4445" t="4445" r="16510" b="889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color w:val="auto"/>
          <w:sz w:val="32"/>
          <w:szCs w:val="32"/>
          <w:highlight w:val="none"/>
        </w:rPr>
        <w:t>债务利息及费用支出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78125"/>
            <wp:effectExtent l="4445" t="4445" r="16510" b="1778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863850"/>
            <wp:effectExtent l="4445" t="4445" r="16510" b="825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auto"/>
          <w:kern w:val="2"/>
          <w:sz w:val="32"/>
          <w:szCs w:val="32"/>
          <w:highlight w:val="none"/>
          <w:lang w:val="en-US" w:eastAsia="zh-CN" w:bidi="ar"/>
        </w:rPr>
        <w:t>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widowControl w:val="0"/>
        <w:kinsoku/>
        <w:wordWrap/>
        <w:overflowPunct/>
        <w:topLinePunct w:val="0"/>
        <w:autoSpaceDE/>
        <w:autoSpaceDN/>
        <w:bidi w:val="0"/>
        <w:adjustRightInd/>
        <w:snapToGrid/>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环江毛南族自治县教育局（本级）2022年度政府性基金支出</w:t>
      </w:r>
      <w:r>
        <w:rPr>
          <w:rFonts w:ascii="仿宋" w:hAnsi="仿宋" w:eastAsia="仿宋" w:cs="仿宋"/>
          <w:sz w:val="32"/>
          <w:szCs w:val="32"/>
          <w:highlight w:val="none"/>
        </w:rPr>
        <w:t>74.17</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增加74.17</w:t>
      </w:r>
      <w:r>
        <w:rPr>
          <w:rFonts w:hint="eastAsia" w:ascii="仿宋" w:hAnsi="仿宋" w:eastAsia="仿宋" w:cs="仿宋"/>
          <w:sz w:val="32"/>
          <w:szCs w:val="32"/>
          <w:highlight w:val="none"/>
        </w:rPr>
        <w:t>万元，</w:t>
      </w:r>
      <w:r>
        <w:rPr>
          <w:rFonts w:ascii="仿宋" w:hAnsi="仿宋" w:eastAsia="仿宋" w:cs="仿宋"/>
          <w:sz w:val="32"/>
          <w:szCs w:val="32"/>
          <w:highlight w:val="none"/>
        </w:rPr>
        <w:t>增长100%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74.17</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环江毛南族自治县教育局（本级）2022年度政府性基金支出年初预算为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74.17</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用于教育事业的彩票公益金支出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2296004</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ascii="仿宋" w:hAnsi="仿宋" w:eastAsia="仿宋" w:cs="仿宋"/>
          <w:color w:val="000000"/>
          <w:sz w:val="32"/>
          <w:u w:color="auto"/>
        </w:rPr>
        <w:t>74.18</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themeColor="text1"/>
          <w:sz w:val="32"/>
          <w:szCs w:val="32"/>
          <w:shd w:val="clear" w:color="auto" w:fill="FFFFFF"/>
          <w:lang w:val="en-US" w:eastAsia="zh-CN"/>
          <w14:textFill>
            <w14:solidFill>
              <w14:schemeClr w14:val="tx1"/>
            </w14:solidFill>
          </w14:textFill>
        </w:rPr>
        <w:t>形成</w:t>
      </w:r>
      <w:r>
        <w:rPr>
          <w:rFonts w:hint="eastAsia" w:ascii="仿宋" w:hAnsi="仿宋" w:eastAsia="仿宋" w:cs="仿宋"/>
          <w:color w:val="000000" w:themeColor="text1"/>
          <w:sz w:val="32"/>
          <w:szCs w:val="32"/>
          <w:highlight w:val="none"/>
          <w14:textFill>
            <w14:solidFill>
              <w14:schemeClr w14:val="tx1"/>
            </w14:solidFill>
          </w14:textFill>
        </w:rPr>
        <w:t>预决算差异</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w:t>
      </w:r>
      <w:r>
        <w:rPr>
          <w:rFonts w:hint="eastAsia" w:ascii="仿宋" w:hAnsi="仿宋" w:eastAsia="仿宋" w:cs="仿宋"/>
          <w:color w:val="auto"/>
          <w:kern w:val="2"/>
          <w:sz w:val="32"/>
          <w:szCs w:val="32"/>
          <w:highlight w:val="none"/>
          <w:lang w:val="en-US" w:eastAsia="zh-CN" w:bidi="ar"/>
        </w:rPr>
        <w:t>年初未做预算。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环江毛南族自治县教育局（本级）2022年度国有资本经营预算支出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环江毛南族自治县教育局（本级）2022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60" w:name="PO_part3A5B1C1DiffReason1"/>
      <w:r>
        <w:rPr>
          <w:rFonts w:hint="eastAsia" w:ascii="仿宋_GB2312" w:hAnsi="Times New Roman" w:eastAsia="仿宋_GB2312" w:cs="Times New Roman"/>
          <w:color w:val="auto"/>
          <w:sz w:val="32"/>
          <w:szCs w:val="32"/>
        </w:rPr>
        <w:t>环江毛南族自治县教育局（本级）</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60"/>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0.90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公务接待人次与上年持平。</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0.90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_GB2312" w:cs="仿宋"/>
          <w:sz w:val="32"/>
          <w:szCs w:val="32"/>
          <w:highlight w:val="none"/>
          <w:lang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原因是：本部门</w:t>
      </w:r>
      <w:bookmarkStart w:id="62" w:name="_GoBack"/>
      <w:bookmarkEnd w:id="62"/>
      <w:r>
        <w:rPr>
          <w:rFonts w:hint="eastAsia" w:ascii="仿宋" w:hAnsi="仿宋" w:eastAsia="仿宋" w:cs="仿宋"/>
          <w:color w:val="000000" w:themeColor="text1"/>
          <w:sz w:val="32"/>
          <w:szCs w:val="32"/>
          <w:highlight w:val="none"/>
          <w:lang w:val="en-US" w:eastAsia="zh-CN"/>
          <w14:textFill>
            <w14:solidFill>
              <w14:schemeClr w14:val="tx1"/>
            </w14:solidFill>
          </w14:textFill>
        </w:rPr>
        <w:t>无因公出国（境）相关工作安排。</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61" w:name="PO_part3A6B2IncReason1"/>
      <w:r>
        <w:rPr>
          <w:rFonts w:hint="eastAsia" w:ascii="仿宋" w:hAnsi="仿宋" w:eastAsia="仿宋" w:cs="仿宋"/>
          <w:color w:val="000000" w:themeColor="text1"/>
          <w:sz w:val="32"/>
          <w:szCs w:val="32"/>
          <w14:textFill>
            <w14:solidFill>
              <w14:schemeClr w14:val="tx1"/>
            </w14:solidFill>
          </w14:textFill>
        </w:rPr>
        <w:t>本部门无公务用车购置</w:t>
      </w:r>
      <w:bookmarkEnd w:id="61"/>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本部门无公务用车购置。</w:t>
      </w:r>
      <w:r>
        <w:rPr>
          <w:rFonts w:hint="eastAsia" w:ascii="仿宋" w:hAnsi="仿宋" w:eastAsia="仿宋" w:cs="仿宋"/>
          <w:sz w:val="32"/>
          <w:szCs w:val="32"/>
          <w:highlight w:val="none"/>
        </w:rPr>
        <w:t>2022年，</w:t>
      </w:r>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平均每辆</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公务接待费支出</w:t>
      </w:r>
      <w:r>
        <w:rPr>
          <w:rFonts w:ascii="仿宋" w:hAnsi="仿宋" w:eastAsia="仿宋" w:cs="仿宋"/>
          <w:sz w:val="32"/>
          <w:szCs w:val="32"/>
          <w:highlight w:val="none"/>
        </w:rPr>
        <w:t>0.90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主要原因是：公务接待人次与上年持平。</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22</w:t>
      </w:r>
      <w:r>
        <w:rPr>
          <w:rFonts w:hint="eastAsia" w:ascii="仿宋" w:hAnsi="仿宋" w:eastAsia="仿宋" w:cs="仿宋"/>
          <w:sz w:val="32"/>
          <w:szCs w:val="32"/>
          <w:highlight w:val="none"/>
        </w:rPr>
        <w:t>次，人次</w:t>
      </w:r>
      <w:r>
        <w:rPr>
          <w:rFonts w:ascii="仿宋" w:hAnsi="仿宋" w:eastAsia="仿宋" w:cs="仿宋"/>
          <w:sz w:val="32"/>
          <w:szCs w:val="32"/>
          <w:highlight w:val="none"/>
        </w:rPr>
        <w:t>90</w:t>
      </w:r>
      <w:r>
        <w:rPr>
          <w:rFonts w:hint="eastAsia" w:ascii="仿宋" w:hAnsi="仿宋" w:eastAsia="仿宋" w:cs="仿宋"/>
          <w:sz w:val="32"/>
          <w:szCs w:val="32"/>
          <w:highlight w:val="none"/>
        </w:rPr>
        <w:t>次。</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本部门2022年度机关运行经费支出</w:t>
      </w:r>
      <w:r>
        <w:rPr>
          <w:rFonts w:hint="eastAsia" w:ascii="仿宋" w:hAnsi="仿宋" w:eastAsia="仿宋" w:cs="仿宋"/>
          <w:color w:val="auto"/>
          <w:sz w:val="32"/>
          <w:szCs w:val="32"/>
          <w:highlight w:val="none"/>
          <w:lang w:val="en-US" w:eastAsia="zh-CN"/>
        </w:rPr>
        <w:t>73.90</w:t>
      </w:r>
      <w:r>
        <w:rPr>
          <w:rFonts w:hint="eastAsia" w:ascii="仿宋" w:hAnsi="仿宋" w:eastAsia="仿宋" w:cs="仿宋"/>
          <w:color w:val="auto"/>
          <w:sz w:val="32"/>
          <w:szCs w:val="32"/>
          <w:highlight w:val="none"/>
        </w:rPr>
        <w:t>万元，比年初预算数</w:t>
      </w:r>
      <w:r>
        <w:rPr>
          <w:rFonts w:ascii="仿宋" w:hAnsi="仿宋" w:eastAsia="仿宋" w:cs="仿宋"/>
          <w:color w:val="auto"/>
          <w:sz w:val="32"/>
          <w:szCs w:val="32"/>
          <w:highlight w:val="none"/>
        </w:rPr>
        <w:t>减少</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w:t>
      </w:r>
      <w:r>
        <w:rPr>
          <w:rFonts w:hint="eastAsia" w:ascii="仿宋" w:hAnsi="仿宋" w:eastAsia="仿宋" w:cs="仿宋"/>
          <w:color w:val="auto"/>
          <w:sz w:val="32"/>
          <w:szCs w:val="32"/>
          <w:highlight w:val="none"/>
          <w:lang w:val="en-US" w:eastAsia="zh-CN"/>
        </w:rPr>
        <w:t>0.00</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，比上年决算数</w:t>
      </w:r>
      <w:r>
        <w:rPr>
          <w:rFonts w:hint="eastAsia" w:ascii="仿宋" w:hAnsi="仿宋" w:eastAsia="仿宋" w:cs="仿宋"/>
          <w:color w:val="auto"/>
          <w:sz w:val="32"/>
          <w:szCs w:val="32"/>
          <w:highlight w:val="none"/>
          <w:lang w:eastAsia="zh-CN"/>
        </w:rPr>
        <w:t>减少</w:t>
      </w:r>
      <w:r>
        <w:rPr>
          <w:rFonts w:hint="eastAsia" w:ascii="仿宋" w:hAnsi="仿宋" w:eastAsia="仿宋" w:cs="仿宋"/>
          <w:color w:val="auto"/>
          <w:sz w:val="32"/>
          <w:szCs w:val="32"/>
          <w:highlight w:val="none"/>
          <w:lang w:val="en-US" w:eastAsia="zh-CN"/>
        </w:rPr>
        <w:t>11.17</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下降</w:t>
      </w:r>
      <w:r>
        <w:rPr>
          <w:rFonts w:hint="eastAsia" w:ascii="仿宋" w:hAnsi="仿宋" w:eastAsia="仿宋" w:cs="仿宋"/>
          <w:color w:val="auto"/>
          <w:sz w:val="32"/>
          <w:szCs w:val="32"/>
          <w:highlight w:val="none"/>
          <w:lang w:val="en-US" w:eastAsia="zh-CN"/>
        </w:rPr>
        <w:t>13.13</w:t>
      </w:r>
      <w:r>
        <w:rPr>
          <w:rFonts w:ascii="仿宋" w:hAnsi="仿宋" w:eastAsia="仿宋" w:cs="仿宋"/>
          <w:color w:val="auto"/>
          <w:sz w:val="32"/>
          <w:szCs w:val="32"/>
          <w:highlight w:val="none"/>
        </w:rPr>
        <w:t>%</w:t>
      </w:r>
      <w:r>
        <w:rPr>
          <w:rFonts w:hint="eastAsia" w:ascii="仿宋" w:hAnsi="仿宋" w:eastAsia="仿宋" w:cs="仿宋"/>
          <w:color w:val="auto"/>
          <w:sz w:val="32"/>
          <w:szCs w:val="32"/>
          <w:highlight w:val="none"/>
        </w:rPr>
        <w:t>。原因是：办公设施设备购置经费增减少、</w:t>
      </w:r>
      <w:r>
        <w:rPr>
          <w:rFonts w:hint="eastAsia" w:ascii="仿宋" w:hAnsi="仿宋" w:eastAsia="仿宋" w:cs="仿宋"/>
          <w:color w:val="auto"/>
          <w:sz w:val="32"/>
          <w:szCs w:val="32"/>
          <w:highlight w:val="none"/>
          <w:lang w:eastAsia="zh-CN"/>
        </w:rPr>
        <w:t>公务员人数</w:t>
      </w:r>
      <w:r>
        <w:rPr>
          <w:rFonts w:hint="eastAsia" w:ascii="仿宋" w:hAnsi="仿宋" w:eastAsia="仿宋" w:cs="仿宋"/>
          <w:color w:val="auto"/>
          <w:sz w:val="32"/>
          <w:szCs w:val="32"/>
          <w:highlight w:val="none"/>
        </w:rPr>
        <w:t>减少、落实过紧日子要求</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5624.80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1203.44</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4039.62</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381.74</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1.绩效管理工作开展情况。</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根据财政预算管理要求，本部门组织对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度一般公共预算项目支出全面开展绩效自评。其中，一</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63</w:t>
      </w:r>
      <w:r>
        <w:rPr>
          <w:rFonts w:hint="eastAsia" w:ascii="仿宋" w:hAnsi="仿宋" w:eastAsia="仿宋" w:cs="仿宋"/>
          <w:color w:val="auto"/>
          <w:sz w:val="32"/>
          <w:szCs w:val="32"/>
        </w:rPr>
        <w:t>个，二</w:t>
      </w:r>
      <w:r>
        <w:rPr>
          <w:rFonts w:hint="eastAsia" w:ascii="仿宋" w:hAnsi="仿宋" w:eastAsia="仿宋" w:cs="仿宋"/>
          <w:color w:val="auto"/>
          <w:sz w:val="32"/>
          <w:szCs w:val="32"/>
          <w:lang w:val="en-US" w:eastAsia="zh-CN"/>
        </w:rPr>
        <w:t>等</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23</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三等</w:t>
      </w:r>
      <w:r>
        <w:rPr>
          <w:rFonts w:hint="eastAsia" w:ascii="仿宋" w:hAnsi="仿宋" w:eastAsia="仿宋" w:cs="仿宋"/>
          <w:color w:val="auto"/>
          <w:sz w:val="32"/>
          <w:szCs w:val="32"/>
          <w:lang w:val="en-US" w:eastAsia="zh-CN"/>
        </w:rPr>
        <w:t>3个，</w:t>
      </w:r>
      <w:r>
        <w:rPr>
          <w:rFonts w:hint="eastAsia" w:ascii="仿宋" w:hAnsi="仿宋" w:eastAsia="仿宋" w:cs="仿宋"/>
          <w:color w:val="auto"/>
          <w:sz w:val="32"/>
          <w:szCs w:val="32"/>
        </w:rPr>
        <w:t>共涉及资金</w:t>
      </w:r>
      <w:r>
        <w:rPr>
          <w:rFonts w:hint="eastAsia" w:ascii="仿宋" w:hAnsi="仿宋" w:eastAsia="仿宋" w:cs="仿宋"/>
          <w:color w:val="auto"/>
          <w:sz w:val="32"/>
          <w:szCs w:val="32"/>
          <w:lang w:val="en-US" w:eastAsia="zh-CN"/>
        </w:rPr>
        <w:t>6084.98</w:t>
      </w:r>
      <w:r>
        <w:rPr>
          <w:rFonts w:hint="eastAsia" w:ascii="仿宋" w:hAnsi="仿宋" w:eastAsia="仿宋" w:cs="仿宋"/>
          <w:color w:val="auto"/>
          <w:sz w:val="32"/>
          <w:szCs w:val="32"/>
        </w:rPr>
        <w:t>万元，占一般公共预算项目支出总额的</w:t>
      </w:r>
      <w:r>
        <w:rPr>
          <w:rFonts w:hint="eastAsia" w:ascii="仿宋" w:hAnsi="仿宋" w:eastAsia="仿宋" w:cs="仿宋"/>
          <w:color w:val="auto"/>
          <w:sz w:val="32"/>
          <w:szCs w:val="32"/>
          <w:lang w:val="en-US" w:eastAsia="zh-CN"/>
        </w:rPr>
        <w:t>59.04</w:t>
      </w: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2022年</w:t>
      </w:r>
      <w:r>
        <w:rPr>
          <w:rFonts w:hint="eastAsia" w:ascii="仿宋" w:hAnsi="仿宋" w:eastAsia="仿宋" w:cs="仿宋"/>
          <w:color w:val="auto"/>
          <w:sz w:val="32"/>
          <w:szCs w:val="32"/>
        </w:rPr>
        <w:t>度</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个政府性基金预算项目支出开展绩效自评，共涉及资金</w:t>
      </w:r>
      <w:r>
        <w:rPr>
          <w:rFonts w:hint="eastAsia" w:ascii="仿宋" w:hAnsi="仿宋" w:eastAsia="仿宋" w:cs="仿宋"/>
          <w:color w:val="auto"/>
          <w:sz w:val="32"/>
          <w:szCs w:val="32"/>
          <w:lang w:val="en-US" w:eastAsia="zh-CN"/>
        </w:rPr>
        <w:t>74.18</w:t>
      </w:r>
      <w:r>
        <w:rPr>
          <w:rFonts w:hint="eastAsia" w:ascii="仿宋" w:hAnsi="仿宋" w:eastAsia="仿宋" w:cs="仿宋"/>
          <w:color w:val="auto"/>
          <w:sz w:val="32"/>
          <w:szCs w:val="32"/>
        </w:rPr>
        <w:t>万元，占政府性基金预算项目支出总额的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63</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5467.15</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万元。从评价情况来看，一等项目支出绩效达到了项目申请时设定的各项绩效目标。</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615.43</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74.18</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等项目支出绩效</w:t>
      </w:r>
      <w:r>
        <w:rPr>
          <w:rFonts w:hint="eastAsia" w:ascii="仿宋" w:hAnsi="仿宋" w:eastAsia="仿宋" w:cs="仿宋"/>
          <w:color w:val="auto"/>
          <w:sz w:val="32"/>
          <w:szCs w:val="32"/>
          <w:lang w:eastAsia="zh-CN"/>
        </w:rPr>
        <w:t>也</w:t>
      </w:r>
      <w:r>
        <w:rPr>
          <w:rFonts w:hint="eastAsia" w:ascii="仿宋" w:hAnsi="仿宋" w:eastAsia="仿宋" w:cs="仿宋"/>
          <w:color w:val="auto"/>
          <w:sz w:val="32"/>
          <w:szCs w:val="32"/>
        </w:rPr>
        <w:t>达到了项目申请时设定的各项绩效目标。</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等</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个项目进行了部门评价，涉及一般公共预算支出</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万元，国有资本经营预算支出0万元。从评价情况来看，</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等项目支出绩效</w:t>
      </w:r>
      <w:r>
        <w:rPr>
          <w:rFonts w:hint="eastAsia" w:ascii="仿宋" w:hAnsi="仿宋" w:eastAsia="仿宋" w:cs="仿宋"/>
          <w:color w:val="auto"/>
          <w:sz w:val="32"/>
          <w:szCs w:val="32"/>
          <w:lang w:eastAsia="zh-CN"/>
        </w:rPr>
        <w:t>基本</w:t>
      </w:r>
      <w:r>
        <w:rPr>
          <w:rFonts w:hint="eastAsia" w:ascii="仿宋" w:hAnsi="仿宋" w:eastAsia="仿宋" w:cs="仿宋"/>
          <w:color w:val="auto"/>
          <w:sz w:val="32"/>
          <w:szCs w:val="32"/>
        </w:rPr>
        <w:t>达到了项目申请时设定的各项绩效目标</w:t>
      </w:r>
      <w:r>
        <w:rPr>
          <w:rFonts w:hint="eastAsia" w:ascii="仿宋" w:hAnsi="仿宋" w:eastAsia="仿宋" w:cs="仿宋"/>
          <w:color w:val="auto"/>
          <w:sz w:val="32"/>
          <w:szCs w:val="32"/>
          <w:lang w:eastAsia="zh-CN"/>
        </w:rPr>
        <w:t>，以后在管理项目上，要做到组织管理到位，执行项目有力，资金管理规范。</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2.部门决算中项目绩效自评结果。</w:t>
      </w:r>
    </w:p>
    <w:p>
      <w:pPr>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rPr>
        <w:t>我部门根据年初设定的绩效目标，对</w:t>
      </w:r>
      <w:r>
        <w:rPr>
          <w:rFonts w:hint="eastAsia" w:ascii="仿宋" w:hAnsi="仿宋" w:eastAsia="仿宋" w:cs="仿宋"/>
          <w:color w:val="auto"/>
          <w:sz w:val="32"/>
          <w:szCs w:val="32"/>
          <w:lang w:val="en-US" w:eastAsia="zh-CN"/>
        </w:rPr>
        <w:t>90</w:t>
      </w:r>
      <w:r>
        <w:rPr>
          <w:rFonts w:hint="eastAsia" w:ascii="仿宋" w:hAnsi="仿宋" w:eastAsia="仿宋" w:cs="仿宋"/>
          <w:color w:val="auto"/>
          <w:sz w:val="32"/>
          <w:szCs w:val="32"/>
        </w:rPr>
        <w:t>个项目进行自评，项目自评得分为</w:t>
      </w:r>
      <w:r>
        <w:rPr>
          <w:rFonts w:hint="eastAsia" w:ascii="仿宋" w:hAnsi="仿宋" w:eastAsia="仿宋" w:cs="仿宋"/>
          <w:color w:val="auto"/>
          <w:sz w:val="32"/>
          <w:szCs w:val="32"/>
          <w:lang w:val="en-US" w:eastAsia="zh-CN"/>
        </w:rPr>
        <w:t>100分21个，95.00-99.99分15个，90.00-94.99分27个，85.00-89.99分7个，80.00-84.99分17个，75.00-79.99分3个。</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auto"/>
          <w:sz w:val="32"/>
          <w:szCs w:val="32"/>
        </w:rPr>
        <w:t>发现的主要问题及原因：一是</w:t>
      </w:r>
      <w:r>
        <w:rPr>
          <w:rFonts w:hint="eastAsia" w:ascii="仿宋" w:hAnsi="仿宋" w:eastAsia="仿宋" w:cs="仿宋"/>
          <w:color w:val="auto"/>
          <w:sz w:val="32"/>
          <w:szCs w:val="32"/>
          <w:lang w:eastAsia="zh-CN"/>
        </w:rPr>
        <w:t>少数项目绩效评分较低，在以后工作中，要</w:t>
      </w:r>
      <w:r>
        <w:rPr>
          <w:rFonts w:hint="eastAsia" w:ascii="仿宋" w:hAnsi="仿宋" w:eastAsia="仿宋" w:cs="仿宋"/>
          <w:color w:val="auto"/>
          <w:sz w:val="32"/>
          <w:szCs w:val="32"/>
        </w:rPr>
        <w:t>按时</w:t>
      </w:r>
      <w:r>
        <w:rPr>
          <w:rFonts w:hint="eastAsia" w:ascii="仿宋" w:hAnsi="仿宋" w:eastAsia="仿宋" w:cs="仿宋"/>
          <w:color w:val="auto"/>
          <w:sz w:val="32"/>
          <w:szCs w:val="32"/>
          <w:lang w:eastAsia="zh-CN"/>
        </w:rPr>
        <w:t>按质落实各项</w:t>
      </w:r>
      <w:r>
        <w:rPr>
          <w:rFonts w:hint="eastAsia" w:ascii="仿宋" w:hAnsi="仿宋" w:eastAsia="仿宋" w:cs="仿宋"/>
          <w:color w:val="auto"/>
          <w:sz w:val="32"/>
          <w:szCs w:val="32"/>
        </w:rPr>
        <w:t>经费；二是学校</w:t>
      </w:r>
      <w:r>
        <w:rPr>
          <w:rFonts w:hint="eastAsia" w:ascii="仿宋" w:hAnsi="仿宋" w:eastAsia="仿宋" w:cs="仿宋"/>
          <w:color w:val="auto"/>
          <w:sz w:val="32"/>
          <w:szCs w:val="32"/>
          <w:lang w:eastAsia="zh-CN"/>
        </w:rPr>
        <w:t>要</w:t>
      </w:r>
      <w:r>
        <w:rPr>
          <w:rFonts w:hint="eastAsia" w:ascii="仿宋" w:hAnsi="仿宋" w:eastAsia="仿宋" w:cs="仿宋"/>
          <w:color w:val="auto"/>
          <w:sz w:val="32"/>
          <w:szCs w:val="32"/>
        </w:rPr>
        <w:t>有计划分学期安排支出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确保学校的正常运转；三是加强对支出的管理，确保专款专用，提高资金使用效益。下一步改进措施：一是学校要优化支出结构，细化支出预算，使学校得到优质发展；二是学校要加快报账进度，充分发挥资金使用效益。</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2E7BDD"/>
    <w:rsid w:val="125C77AB"/>
    <w:rsid w:val="14CB726E"/>
    <w:rsid w:val="17E92249"/>
    <w:rsid w:val="18D304F1"/>
    <w:rsid w:val="19F32577"/>
    <w:rsid w:val="19F45B80"/>
    <w:rsid w:val="1AF13C5B"/>
    <w:rsid w:val="1B0C078D"/>
    <w:rsid w:val="1B2B31E2"/>
    <w:rsid w:val="1B4C295A"/>
    <w:rsid w:val="1B973C63"/>
    <w:rsid w:val="1BA1001E"/>
    <w:rsid w:val="1D317259"/>
    <w:rsid w:val="1DE82DBA"/>
    <w:rsid w:val="1E664F5B"/>
    <w:rsid w:val="1EB34BE1"/>
    <w:rsid w:val="215E639F"/>
    <w:rsid w:val="21EC3183"/>
    <w:rsid w:val="225E72CD"/>
    <w:rsid w:val="246E2F77"/>
    <w:rsid w:val="254B4E2B"/>
    <w:rsid w:val="283D7C94"/>
    <w:rsid w:val="29480E03"/>
    <w:rsid w:val="2983634D"/>
    <w:rsid w:val="2BB02055"/>
    <w:rsid w:val="2C575A56"/>
    <w:rsid w:val="2F257714"/>
    <w:rsid w:val="2F3275E5"/>
    <w:rsid w:val="308027F8"/>
    <w:rsid w:val="30AA08EF"/>
    <w:rsid w:val="30D23D1C"/>
    <w:rsid w:val="31221CF5"/>
    <w:rsid w:val="31400178"/>
    <w:rsid w:val="314C6D34"/>
    <w:rsid w:val="321E3342"/>
    <w:rsid w:val="327759C8"/>
    <w:rsid w:val="33185FE3"/>
    <w:rsid w:val="346F0D36"/>
    <w:rsid w:val="34EE2E36"/>
    <w:rsid w:val="36777241"/>
    <w:rsid w:val="371E78D5"/>
    <w:rsid w:val="37CB0880"/>
    <w:rsid w:val="38A951DB"/>
    <w:rsid w:val="38B31605"/>
    <w:rsid w:val="39003F4F"/>
    <w:rsid w:val="3B7B014E"/>
    <w:rsid w:val="3C07002B"/>
    <w:rsid w:val="3D0D152A"/>
    <w:rsid w:val="3DF62756"/>
    <w:rsid w:val="3F1B7587"/>
    <w:rsid w:val="3FF59BB1"/>
    <w:rsid w:val="41E57B4F"/>
    <w:rsid w:val="432F26F6"/>
    <w:rsid w:val="43880F6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9337A15"/>
    <w:rsid w:val="59810274"/>
    <w:rsid w:val="5CA96A00"/>
    <w:rsid w:val="5CF730BC"/>
    <w:rsid w:val="5E5F0DCE"/>
    <w:rsid w:val="5FA40A7B"/>
    <w:rsid w:val="5FD56D29"/>
    <w:rsid w:val="5FEC7F3F"/>
    <w:rsid w:val="60F74BC3"/>
    <w:rsid w:val="617D3BF8"/>
    <w:rsid w:val="61841F6A"/>
    <w:rsid w:val="623007A9"/>
    <w:rsid w:val="637D7558"/>
    <w:rsid w:val="644F19AC"/>
    <w:rsid w:val="65AA4920"/>
    <w:rsid w:val="65E31D0B"/>
    <w:rsid w:val="67694F1E"/>
    <w:rsid w:val="69597934"/>
    <w:rsid w:val="6B964DDC"/>
    <w:rsid w:val="6B9D05D7"/>
    <w:rsid w:val="6C783074"/>
    <w:rsid w:val="6D9E65C6"/>
    <w:rsid w:val="6DA81947"/>
    <w:rsid w:val="6EB66DE2"/>
    <w:rsid w:val="6ED3075F"/>
    <w:rsid w:val="6F2A2D4B"/>
    <w:rsid w:val="6F8A0C1E"/>
    <w:rsid w:val="703F45D4"/>
    <w:rsid w:val="715D6546"/>
    <w:rsid w:val="71924B13"/>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 w:val="9E8FC82A"/>
    <w:rsid w:val="9EFE166F"/>
    <w:rsid w:val="ABBFA494"/>
    <w:rsid w:val="E7CB634A"/>
    <w:rsid w:val="F77B7B37"/>
    <w:rsid w:val="FAB39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8.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huawei/&#26700;&#38754;/&#24037;&#20316;&#31807;3.et" TargetMode="External"/></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11280.22</c:v>
                </c:pt>
                <c:pt idx="1">
                  <c:v>74.17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0.89</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12.67</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9.78</c:v>
                </c:pt>
                <c:pt idx="4">
                  <c:v>33.55</c:v>
                </c:pt>
                <c:pt idx="5">
                  <c:v>0</c:v>
                </c:pt>
                <c:pt idx="6">
                  <c:v>0</c:v>
                </c:pt>
                <c:pt idx="7">
                  <c:v>0</c:v>
                </c:pt>
                <c:pt idx="8">
                  <c:v>0.04</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Sheet1!$A$2:$A$7</c:f>
              <c:strCache>
                <c:ptCount val="6"/>
                <c:pt idx="0">
                  <c:v>一般公共服务支出</c:v>
                </c:pt>
                <c:pt idx="1">
                  <c:v>教育支出</c:v>
                </c:pt>
                <c:pt idx="2">
                  <c:v>社会保障和就业支出</c:v>
                </c:pt>
                <c:pt idx="3">
                  <c:v>农林水支出</c:v>
                </c:pt>
                <c:pt idx="4">
                  <c:v>住房保障支出</c:v>
                </c:pt>
                <c:pt idx="5">
                  <c:v>其他支出</c:v>
                </c:pt>
              </c:strCache>
            </c:strRef>
          </c:cat>
          <c:val>
            <c:numRef>
              <c:f>Sheet1!$B$2:$B$7</c:f>
              <c:numCache>
                <c:formatCode>General</c:formatCode>
                <c:ptCount val="6"/>
                <c:pt idx="0">
                  <c:v>31.19</c:v>
                </c:pt>
                <c:pt idx="1">
                  <c:v>12968.03</c:v>
                </c:pt>
                <c:pt idx="2">
                  <c:v>79.85</c:v>
                </c:pt>
                <c:pt idx="3">
                  <c:v>1331.83</c:v>
                </c:pt>
                <c:pt idx="4">
                  <c:v>73.37</c:v>
                </c:pt>
                <c:pt idx="5">
                  <c:v>180.54</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Sheet1!$A$2:$A$7</c:f>
              <c:strCache>
                <c:ptCount val="6"/>
                <c:pt idx="0">
                  <c:v>一般公共服务支出</c:v>
                </c:pt>
                <c:pt idx="1">
                  <c:v>教育支出</c:v>
                </c:pt>
                <c:pt idx="2">
                  <c:v>社会保障和就业支出</c:v>
                </c:pt>
                <c:pt idx="3">
                  <c:v>农林水支出</c:v>
                </c:pt>
                <c:pt idx="4">
                  <c:v>住房保障支出</c:v>
                </c:pt>
                <c:pt idx="5">
                  <c:v>其他支出</c:v>
                </c:pt>
              </c:strCache>
            </c:strRef>
          </c:cat>
          <c:val>
            <c:numRef>
              <c:f>Sheet1!$C$2:$C$7</c:f>
              <c:numCache>
                <c:formatCode>General</c:formatCode>
                <c:ptCount val="6"/>
                <c:pt idx="0">
                  <c:v>12.67</c:v>
                </c:pt>
                <c:pt idx="1">
                  <c:v>9181.14</c:v>
                </c:pt>
                <c:pt idx="2">
                  <c:v>99.76</c:v>
                </c:pt>
                <c:pt idx="3">
                  <c:v>1765.05</c:v>
                </c:pt>
                <c:pt idx="4">
                  <c:v>74.81</c:v>
                </c:pt>
                <c:pt idx="5">
                  <c:v>220.96</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12.67</c:v>
                </c:pt>
                <c:pt idx="1">
                  <c:v>12.67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Sheet1!$A$2:$A$12</c:f>
              <c:strCache>
                <c:ptCount val="11"/>
                <c:pt idx="0">
                  <c:v>2050101</c:v>
                </c:pt>
                <c:pt idx="1">
                  <c:v>2050199</c:v>
                </c:pt>
                <c:pt idx="2">
                  <c:v>2050201</c:v>
                </c:pt>
                <c:pt idx="3">
                  <c:v>2050202</c:v>
                </c:pt>
                <c:pt idx="4">
                  <c:v>2050203</c:v>
                </c:pt>
                <c:pt idx="5">
                  <c:v>2050204</c:v>
                </c:pt>
                <c:pt idx="6">
                  <c:v>2050205</c:v>
                </c:pt>
                <c:pt idx="7">
                  <c:v>2050299</c:v>
                </c:pt>
                <c:pt idx="8">
                  <c:v>2050999</c:v>
                </c:pt>
                <c:pt idx="9">
                  <c:v>2059999</c:v>
                </c:pt>
                <c:pt idx="10">
                  <c:v>205x</c:v>
                </c:pt>
              </c:strCache>
            </c:strRef>
          </c:cat>
          <c:val>
            <c:numRef>
              <c:f>Sheet1!$B$2:$B$12</c:f>
              <c:numCache>
                <c:formatCode>General</c:formatCode>
                <c:ptCount val="11"/>
                <c:pt idx="0">
                  <c:v>73.9</c:v>
                </c:pt>
                <c:pt idx="1">
                  <c:v>657.39</c:v>
                </c:pt>
                <c:pt idx="2">
                  <c:v>1078.34</c:v>
                </c:pt>
                <c:pt idx="3">
                  <c:v>1925.73</c:v>
                </c:pt>
                <c:pt idx="4">
                  <c:v>1114.58</c:v>
                </c:pt>
                <c:pt idx="5">
                  <c:v>696.48</c:v>
                </c:pt>
                <c:pt idx="6">
                  <c:v>179.14</c:v>
                </c:pt>
                <c:pt idx="7">
                  <c:v>2702.25</c:v>
                </c:pt>
                <c:pt idx="8">
                  <c:v>749.76</c:v>
                </c:pt>
                <c:pt idx="9">
                  <c:v>3.56</c:v>
                </c:pt>
                <c:pt idx="10">
                  <c:v>9181.14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99.76</c:v>
                </c:pt>
                <c:pt idx="1">
                  <c:v>99.76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2130599</c:v>
                </c:pt>
                <c:pt idx="1">
                  <c:v>213x</c:v>
                </c:pt>
              </c:strCache>
            </c:strRef>
          </c:cat>
          <c:val>
            <c:numRef>
              <c:f>Sheet1!$B$2:$B$3</c:f>
              <c:numCache>
                <c:formatCode>General</c:formatCode>
                <c:ptCount val="2"/>
                <c:pt idx="0">
                  <c:v>1765.05</c:v>
                </c:pt>
                <c:pt idx="1">
                  <c:v>1765.05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74.81</c:v>
                </c:pt>
                <c:pt idx="1">
                  <c:v>74.81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其他支出</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delete val="1"/>
          </c:dLbls>
          <c:cat>
            <c:strRef>
              <c:f>[工作簿3.et]Sheet12!$A$1:$A$3</c:f>
              <c:strCache>
                <c:ptCount val="3"/>
                <c:pt idx="0">
                  <c:v>2296004</c:v>
                </c:pt>
                <c:pt idx="1">
                  <c:v>2299999</c:v>
                </c:pt>
                <c:pt idx="2">
                  <c:v>229x</c:v>
                </c:pt>
              </c:strCache>
            </c:strRef>
          </c:cat>
          <c:val>
            <c:numRef>
              <c:f>[工作簿3.et]Sheet12!$B$1:$B$3</c:f>
              <c:numCache>
                <c:formatCode>General</c:formatCode>
                <c:ptCount val="3"/>
                <c:pt idx="0">
                  <c:v>74.18</c:v>
                </c:pt>
                <c:pt idx="1">
                  <c:v>146.78</c:v>
                </c:pt>
                <c:pt idx="2">
                  <c:v>220.96</c:v>
                </c:pt>
              </c:numCache>
            </c:numRef>
          </c:val>
        </c:ser>
        <c:dLbls>
          <c:showLegendKey val="0"/>
          <c:showVal val="0"/>
          <c:showCatName val="0"/>
          <c:showSerName val="0"/>
          <c:showPercent val="0"/>
          <c:showBubbleSize val="0"/>
        </c:dLbls>
        <c:gapWidth val="219"/>
        <c:overlap val="-27"/>
        <c:axId val="936452851"/>
        <c:axId val="211971569"/>
      </c:barChart>
      <c:catAx>
        <c:axId val="936452851"/>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科目代码</a:t>
                </a:r>
              </a:p>
            </c:rich>
          </c:tx>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11971569"/>
        <c:crosses val="autoZero"/>
        <c:auto val="1"/>
        <c:lblAlgn val="ctr"/>
        <c:lblOffset val="100"/>
        <c:noMultiLvlLbl val="0"/>
      </c:catAx>
      <c:valAx>
        <c:axId val="2119715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6452851"/>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330.39</c:v>
                </c:pt>
                <c:pt idx="1">
                  <c:v>79.86</c:v>
                </c:pt>
                <c:pt idx="2">
                  <c:v>153.89</c:v>
                </c:pt>
                <c:pt idx="3">
                  <c:v>11</c:v>
                </c:pt>
                <c:pt idx="4">
                  <c:v>111.39</c:v>
                </c:pt>
                <c:pt idx="5">
                  <c:v>99.84</c:v>
                </c:pt>
                <c:pt idx="6">
                  <c:v>0</c:v>
                </c:pt>
                <c:pt idx="7">
                  <c:v>40.85</c:v>
                </c:pt>
                <c:pt idx="8">
                  <c:v>0</c:v>
                </c:pt>
                <c:pt idx="9">
                  <c:v>8.24</c:v>
                </c:pt>
                <c:pt idx="10">
                  <c:v>74.81</c:v>
                </c:pt>
                <c:pt idx="11">
                  <c:v>0</c:v>
                </c:pt>
                <c:pt idx="12">
                  <c:v>6.15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2023-08-18T18:06:00Z</dcterms:created>
  <dc:creator>C D D</dc:creator>
  <cp:lastModifiedBy>Administrator</cp:lastModifiedBy>
  <dcterms:modified xsi:type="dcterms:W3CDTF">2023-11-28T07:52:21Z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5180B1282C75468993ABA3CF3D5C2706</vt:lpwstr>
  </property>
</Properties>
</file>