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环江毛南族自治县文化广电体育和旅游局2022年度部门决算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环江毛南族自治县文化广电体育和旅游局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环江毛南族自治县文化广电体育和旅游局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环江毛南族自治县文化广电体育和旅游局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环江毛南族自治县文化广电体育和旅游局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beforeLines="0" w:afterLine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（一）研究拟订文化、广电、体育和旅游政策措施，起草文化、广电、体育和旅游规范性文件。</w:t>
      </w:r>
    </w:p>
    <w:p>
      <w:pPr>
        <w:spacing w:beforeLines="0" w:afterLine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（二）统筹规划全县文化事业、文化产业、广电事业、体育事业和旅游业发展，拟订发展规划并组织实施，推进文化、广电、体育和旅游融合发展，推进文化、广电、体育和旅游体制机制改革。</w:t>
      </w:r>
    </w:p>
    <w:p>
      <w:pPr>
        <w:spacing w:beforeLines="0" w:afterLine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管理全县性重大文化、广电、体育活动，指导全县文化、广电、体育和旅游重点设施、重大项目建设。组织全县旅游整体形象推广，促进文化产业、广电事业、体育事业和旅游产业对外合作和国内外市场推广，制定旅游市场开发战略并组织实施。指导和推进全域旅游、特色旅游、乡村旅游、红色旅游。</w:t>
      </w:r>
    </w:p>
    <w:p>
      <w:pPr>
        <w:spacing w:beforeLines="0" w:afterLine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（四）指导、管理全县文艺事业，指导艺术创作生产，扶持体现社会主义核心价值观、具有导向性代表性示范性的文艺作品，推动各门类艺术、各艺术品种发展。</w:t>
      </w:r>
    </w:p>
    <w:p>
      <w:pPr>
        <w:spacing w:beforeLines="0" w:afterLine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五）负责全县公共文化、广电事业、体育事业和旅游产业发展，推进全县公共文化、广电、体育服务体系建设和旅游公共服务建设，深入实施文化惠民工程，扶助老少边山贫地区广播电视建设和发展，统筹推进基本公共文化、广电、体育服务标准化、均等化和旅游公共服务标准化。</w:t>
      </w:r>
    </w:p>
    <w:p>
      <w:pPr>
        <w:spacing w:beforeLines="0" w:afterLine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（六）指导、推进文化、广电、体育和旅游科技创新发展，推进全县文化、广电、体育和旅游行业信息化、标准化建设，指导行业职业教育工作。</w:t>
      </w:r>
    </w:p>
    <w:p>
      <w:pPr>
        <w:spacing w:beforeLines="0" w:afterLine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（七）负责全县非物质文化遗产保护，推动非物质文化遗产保护、传承、普及、弘扬和振兴。</w:t>
      </w:r>
    </w:p>
    <w:p>
      <w:pPr>
        <w:spacing w:beforeLines="0" w:afterLine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（八）统筹规划全县文化产业、广电事业、体育事业和旅游产业，组织实施文化和旅游资源普查、挖掘、保护和利用以及体育场地普查工作。促进文化、广电、体育、旅游与相关产业融合发展。</w:t>
      </w:r>
    </w:p>
    <w:p>
      <w:pPr>
        <w:spacing w:beforeLines="0" w:afterLine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九）指导全县文化、广电、体育和旅游市场发展，对文化、广电、体育和旅游市场经营进行行业监管，推进文化、广电、体育和旅游行业信用体系建设，依法规范文化、广电、体育和旅游市场。协调和指导全县假日旅游工作。负责文化、广电、体育和旅游系统安全监督管理工作。</w:t>
      </w:r>
    </w:p>
    <w:p>
      <w:pPr>
        <w:spacing w:beforeLines="0" w:afterLine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（十）指导、监督全县文化：广电、体育和旅游市场综合执法工作。组织查处全县性、跨区域文化、文物、出版、电影、广播电视、体育、旅游等市场的违法行为，维护市场秩序。</w:t>
      </w:r>
    </w:p>
    <w:p>
      <w:pPr>
        <w:spacing w:beforeLines="0" w:afterLine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（十一）指导、管理全县文化、广电、体育和旅游对外及对港澳台交流、合作和宣传、推广工作。组织实施大型文化、广电、体育和旅游对外及对港澳台交流活动。</w:t>
      </w:r>
    </w:p>
    <w:p>
      <w:pPr>
        <w:spacing w:beforeLines="0" w:afterLine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（十二）统筹规划全县文物、博物馆事业发展，组织协调文物资源调查，文物保护和考古工作，文物资源资产管理、合理利用和文物安全工作，指导全县博物馆、文物管理机构业务建设。</w:t>
      </w:r>
    </w:p>
    <w:p>
      <w:pPr>
        <w:spacing w:beforeLines="0" w:afterLine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十三）负责推进全县广播电视与新媒体技术新业态融合发展，推进广电网与电信网、互联网三网融合。负责对各类广播电视机构进行业务指导和行业监管，会同有关部门对网络视听节目服务机构进行管理。负责对全县广播电视节目传输覆盖、监测和安全播出进行监管。指导、协调全县广播电视系统安全和保卫工作。指导全县电视剧行业发展和电视剧创作生产。</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color w:val="000000"/>
          <w:sz w:val="32"/>
          <w:szCs w:val="32"/>
        </w:rPr>
        <w:t>（十四）统筹规划全县群众体育、竞技体育和青少年体育发展，负责推行全民健身计划，监督实施国家体育锻炼标准，推动国民体质监测和社会体育指导工作队伍制度建设，指导协调体育训练和体育竞赛，指导运动队伍建设，指导和推进青少年体育工作，规范体育服务管理，指导体育队伍的日常管理，负责体育彩票管理，负责组织、协调、监督体育运动中的反兴奋剂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、机构设置情况</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环江县文化广电体育</w:t>
      </w:r>
      <w:r>
        <w:rPr>
          <w:rFonts w:hint="eastAsia" w:ascii="仿宋_GB2312" w:hAnsi="仿宋_GB2312" w:eastAsia="仿宋_GB2312" w:cs="仿宋_GB2312"/>
          <w:sz w:val="32"/>
          <w:szCs w:val="32"/>
          <w:lang w:eastAsia="zh-CN"/>
        </w:rPr>
        <w:t>和旅游</w:t>
      </w:r>
      <w:r>
        <w:rPr>
          <w:rFonts w:hint="eastAsia" w:ascii="仿宋_GB2312" w:hAnsi="仿宋_GB2312" w:eastAsia="仿宋_GB2312" w:cs="仿宋_GB2312"/>
          <w:sz w:val="32"/>
          <w:szCs w:val="32"/>
        </w:rPr>
        <w:t>局是文化系统的主管行政部门，二层独立法人单位有图书馆、文化馆、文物所、非遗中心等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个单位，其中财政全额拨款事业单位有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个：图书馆、文化馆、文物所、非遗中心。</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、人员构成情况。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人员编制总数为</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人</w:t>
      </w:r>
      <w:r>
        <w:rPr>
          <w:rFonts w:hint="eastAsia" w:ascii="仿宋_GB2312" w:hAnsi="仿宋_GB2312" w:eastAsia="仿宋_GB2312" w:cs="仿宋_GB2312"/>
          <w:color w:val="000000"/>
          <w:sz w:val="32"/>
          <w:szCs w:val="32"/>
        </w:rPr>
        <w:t>（其中：参照公务法管理人员</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sz w:val="32"/>
          <w:szCs w:val="32"/>
        </w:rPr>
        <w:t>，机关后勤服务中心聘用人员控制数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人。实有财政供养人数</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人，其中行政在职</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人，事业在职</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人，离退休人员</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人（其中离休0人）。编外在职实有人数</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 xml:space="preserve">人。具体情况如下： </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县文化广电体育</w:t>
      </w:r>
      <w:r>
        <w:rPr>
          <w:rFonts w:hint="eastAsia" w:ascii="仿宋_GB2312" w:hAnsi="仿宋_GB2312" w:eastAsia="仿宋_GB2312" w:cs="仿宋_GB2312"/>
          <w:sz w:val="32"/>
          <w:szCs w:val="32"/>
          <w:lang w:eastAsia="zh-CN"/>
        </w:rPr>
        <w:t>和旅游</w:t>
      </w:r>
      <w:r>
        <w:rPr>
          <w:rFonts w:hint="eastAsia" w:ascii="仿宋_GB2312" w:hAnsi="仿宋_GB2312" w:eastAsia="仿宋_GB2312" w:cs="仿宋_GB2312"/>
          <w:sz w:val="32"/>
          <w:szCs w:val="32"/>
        </w:rPr>
        <w:t>局本级行政在职人数</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参公人数为</w:t>
      </w:r>
      <w:r>
        <w:rPr>
          <w:rFonts w:hint="eastAsia" w:ascii="仿宋_GB2312" w:hAnsi="仿宋_GB2312" w:eastAsia="仿宋_GB2312" w:cs="仿宋_GB2312"/>
          <w:sz w:val="32"/>
          <w:szCs w:val="32"/>
          <w:lang w:val="en-US" w:eastAsia="zh-CN"/>
        </w:rPr>
        <w:t>5人，事业在职人数4人，后</w:t>
      </w:r>
      <w:r>
        <w:rPr>
          <w:rFonts w:hint="eastAsia" w:ascii="仿宋_GB2312" w:hAnsi="仿宋_GB2312" w:eastAsia="仿宋_GB2312" w:cs="仿宋_GB2312"/>
          <w:sz w:val="32"/>
          <w:szCs w:val="32"/>
        </w:rPr>
        <w:t>勤</w:t>
      </w:r>
      <w:r>
        <w:rPr>
          <w:rFonts w:hint="eastAsia" w:ascii="仿宋_GB2312" w:hAnsi="仿宋_GB2312" w:eastAsia="仿宋_GB2312" w:cs="仿宋_GB2312"/>
          <w:sz w:val="32"/>
          <w:szCs w:val="32"/>
          <w:lang w:eastAsia="zh-CN"/>
        </w:rPr>
        <w:t>控制</w:t>
      </w:r>
      <w:r>
        <w:rPr>
          <w:rFonts w:hint="eastAsia" w:ascii="仿宋_GB2312" w:hAnsi="仿宋_GB2312" w:eastAsia="仿宋_GB2312" w:cs="仿宋_GB2312"/>
          <w:sz w:val="32"/>
          <w:szCs w:val="32"/>
        </w:rPr>
        <w:t>在职人数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人；县图书馆事业在职人数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人，；县非物质文化遗产保护传承中心事业在职人数</w:t>
      </w:r>
      <w:r>
        <w:rPr>
          <w:rFonts w:hint="eastAsia" w:ascii="仿宋_GB2312" w:hAnsi="仿宋_GB2312" w:eastAsia="仿宋_GB2312" w:cs="仿宋_GB2312"/>
          <w:sz w:val="32"/>
          <w:szCs w:val="32"/>
          <w:lang w:val="en-US" w:eastAsia="zh-CN"/>
        </w:rPr>
        <w:t>20人，退休人员3人</w:t>
      </w:r>
      <w:r>
        <w:rPr>
          <w:rFonts w:hint="eastAsia" w:ascii="仿宋_GB2312" w:hAnsi="仿宋_GB2312" w:eastAsia="仿宋_GB2312" w:cs="仿宋_GB2312"/>
          <w:sz w:val="32"/>
          <w:szCs w:val="32"/>
        </w:rPr>
        <w:t>；县文化馆事业在职人数7人；</w:t>
      </w:r>
      <w:r>
        <w:rPr>
          <w:rFonts w:hint="eastAsia" w:ascii="仿宋_GB2312" w:hAnsi="仿宋_GB2312" w:eastAsia="仿宋_GB2312" w:cs="仿宋_GB2312"/>
          <w:sz w:val="32"/>
          <w:szCs w:val="32"/>
          <w:lang w:eastAsia="zh-CN"/>
        </w:rPr>
        <w:t>退休人员</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rPr>
        <w:t>县文物所事业在职人数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，退休人员</w:t>
      </w:r>
      <w:r>
        <w:rPr>
          <w:rFonts w:hint="eastAsia" w:ascii="仿宋_GB2312" w:hAnsi="仿宋_GB2312" w:eastAsia="仿宋_GB2312" w:cs="仿宋_GB2312"/>
          <w:sz w:val="32"/>
          <w:szCs w:val="32"/>
          <w:lang w:val="en-US" w:eastAsia="zh-CN"/>
        </w:rPr>
        <w:t>1人。</w:t>
      </w: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960" w:firstLineChars="3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环江毛南族自治县文化广电体育和旅游局</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广西河池环江毛南族自治县文化广电体育和旅游局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1461.72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34.88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1121.99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31.20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225.99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23.86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79.39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1496.60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1496.60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1496.60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1496.60</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广西河池环江毛南族自治县文化广电体育和旅游局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1496.60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1496.60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文化旅游体育与传媒支出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1121.99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1121.99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文化和旅游</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880.62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880.62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一般行政管理事务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282.58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282.58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文化活动</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群众文化</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2070112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文化和旅游市场管理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其他文化和旅游支出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体育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202.98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202.98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2070305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体育竞赛</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2070307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体育场馆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2070308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群众体育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2070309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体育交流与合作</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广播电视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2070808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广播电视事务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2070899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其他广播电视支出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其他文化旅游体育与传媒支出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其他文化旅游体育与传媒支出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公共卫生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2100410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突发公共卫生事件应急处理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农林水支出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巩固脱贫衔接乡村振兴</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农村基础设施建设</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用于体育事业的彩票公益金支出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广西河池环江毛南族自治县文化广电体育和旅游局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1496.60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289.93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1206.67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文化旅游体育与传媒支出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1121.99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226.29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895.70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文化和旅游</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880.62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226.29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654.33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226.29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29.21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一般行政管理事务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282.58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282.58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文化活动</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群众文化</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2070112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文化和旅游市场管理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其他文化和旅游支出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303.44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体育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202.98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202.98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2070305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体育竞赛</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2070307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体育场馆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2070308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群众体育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2070309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体育交流与合作</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广播电视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2070808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广播电视事务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2070899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其他广播电视支出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其他文化旅游体育与传媒支出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其他文化旅游体育与传媒支出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31.20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31.20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31.20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225.99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公共卫生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225.99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2100410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突发公共卫生事件应急处理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225.99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巩固脱贫衔接乡村振兴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农村基础设施建设</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34.88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用于体育事业的彩票公益金支出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34.88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40.11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40.11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广西河池环江毛南族自治县文化广电体育和旅游局</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1461.72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34.88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1121.99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1121.99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31.20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31.20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225.99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225.99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23.86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23.86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79.39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44.51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34.88</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1496.60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1496.60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1461.72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34.88</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1496.60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1496.60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1461.72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34.88</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广西河池环江毛南族自治县文化广电体育和旅游局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1461.72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289.93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1171.79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1121.99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226.29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895.70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文化和旅游</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880.62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226.29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654.33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255.51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226.29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29.21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一般行政管理事务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282.58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282.58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文化活动</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群众文化</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2070112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文化和旅游市场管理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其他文化和旅游支出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303.44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体育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202.98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202.98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2070305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体育竞赛</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17.63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2070307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体育场馆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172.50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172.50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2070308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群众体育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2070309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体育交流与合作</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广播电视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17.40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2070808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广播电视事务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2070899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其他广播电视支出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31.20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31.20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31.20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225.99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225.99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21004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公共卫生</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225.99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225.99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2100410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突发公共卫生事件应急处理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225.99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225.99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巩固脱贫衔接乡村振兴</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2130504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农村基础设施建设</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40.11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40.11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40.11</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广西河池环江毛南族自治县文化广电体育和旅游局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265.57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11.47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92.74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33.99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278.46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11.47</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广西河池环江毛南族自治县文化广电体育和旅游局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34.88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34.88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34.88</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其他支出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34.88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34.88</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彩票公益金安排的支出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34.88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34.88</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2296003</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用于体育事业的彩票公益金支出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34.88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34.88</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广西河池环江毛南族自治县文化广电体育和旅游局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广西河池环江毛南族自治县文化广电体育和旅游局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3.09</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3.09</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3.09</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3.09</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环江毛南族自治县文化广电体育和旅游局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1496.60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减少142.36</w:t>
      </w:r>
      <w:r>
        <w:rPr>
          <w:rFonts w:hint="eastAsia" w:ascii="仿宋" w:hAnsi="仿宋" w:eastAsia="仿宋" w:cs="仿宋"/>
          <w:sz w:val="32"/>
          <w:szCs w:val="32"/>
          <w:highlight w:val="none"/>
        </w:rPr>
        <w:t>万元，</w:t>
      </w:r>
      <w:r>
        <w:rPr>
          <w:rFonts w:ascii="仿宋" w:hAnsi="仿宋" w:eastAsia="仿宋" w:cs="仿宋"/>
          <w:sz w:val="32"/>
          <w:u w:color="auto"/>
        </w:rPr>
        <w:t>下降8.69%</w:t>
      </w:r>
      <w:r>
        <w:rPr>
          <w:rFonts w:hint="eastAsia" w:ascii="仿宋" w:hAnsi="仿宋" w:eastAsia="仿宋" w:cs="仿宋"/>
          <w:sz w:val="32"/>
          <w:szCs w:val="32"/>
          <w:highlight w:val="none"/>
        </w:rPr>
        <w:t>，其中本年收入</w:t>
      </w:r>
      <w:r>
        <w:rPr>
          <w:rFonts w:ascii="仿宋" w:hAnsi="仿宋" w:eastAsia="仿宋" w:cs="仿宋"/>
          <w:sz w:val="32"/>
          <w:u w:color="auto"/>
        </w:rPr>
        <w:t>1496.60</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1461.72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增加339.68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增长30.27%</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主要原因：主要是增加了疫情防控经费。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34.88</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增加34.88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增加体育彩票公益金。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0"/>
          <w:sz w:val="32"/>
          <w:szCs w:val="32"/>
        </w:rPr>
        <w:t>主要原因是</w:t>
      </w:r>
      <w:r>
        <w:rPr>
          <w:rFonts w:hint="eastAsia" w:ascii="仿宋" w:hAnsi="仿宋" w:eastAsia="仿宋" w:cs="仿宋"/>
          <w:color w:val="auto"/>
          <w:kern w:val="0"/>
          <w:sz w:val="32"/>
          <w:szCs w:val="32"/>
          <w:lang w:eastAsia="zh-CN"/>
        </w:rPr>
        <w:t>本年度无</w:t>
      </w:r>
      <w:r>
        <w:rPr>
          <w:rFonts w:hint="eastAsia" w:ascii="仿宋" w:hAnsi="仿宋" w:eastAsia="仿宋" w:cs="仿宋"/>
          <w:kern w:val="2"/>
          <w:sz w:val="32"/>
          <w:szCs w:val="32"/>
          <w:highlight w:val="none"/>
          <w:lang w:val="en-US" w:eastAsia="zh-CN" w:bidi="ar"/>
        </w:rPr>
        <w:t>国有资本经营预算财政拨款</w:t>
      </w:r>
      <w:r>
        <w:rPr>
          <w:rFonts w:hint="eastAsia" w:ascii="仿宋" w:hAnsi="仿宋" w:eastAsia="仿宋" w:cs="仿宋"/>
          <w:color w:val="auto"/>
          <w:kern w:val="0"/>
          <w:sz w:val="32"/>
          <w:szCs w:val="32"/>
          <w:lang w:eastAsia="zh-CN"/>
        </w:rPr>
        <w:t>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0"/>
          <w:sz w:val="32"/>
          <w:szCs w:val="32"/>
        </w:rPr>
        <w:t>主要原因是</w:t>
      </w:r>
      <w:r>
        <w:rPr>
          <w:rFonts w:hint="eastAsia" w:ascii="仿宋" w:hAnsi="仿宋" w:eastAsia="仿宋" w:cs="仿宋"/>
          <w:color w:val="auto"/>
          <w:kern w:val="0"/>
          <w:sz w:val="32"/>
          <w:szCs w:val="32"/>
          <w:lang w:eastAsia="zh-CN"/>
        </w:rPr>
        <w:t>本年度无</w:t>
      </w:r>
      <w:r>
        <w:rPr>
          <w:rFonts w:hint="eastAsia" w:ascii="仿宋" w:hAnsi="仿宋" w:eastAsia="仿宋" w:cs="仿宋"/>
          <w:kern w:val="2"/>
          <w:sz w:val="32"/>
          <w:szCs w:val="32"/>
          <w:highlight w:val="none"/>
          <w:lang w:val="en-US" w:eastAsia="zh-CN" w:bidi="ar"/>
        </w:rPr>
        <w:t>事业收入</w:t>
      </w:r>
      <w:r>
        <w:rPr>
          <w:rFonts w:hint="eastAsia" w:ascii="仿宋" w:hAnsi="仿宋" w:eastAsia="仿宋" w:cs="仿宋"/>
          <w:color w:val="auto"/>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减少516.92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765675" cy="2839085"/>
            <wp:effectExtent l="5080" t="4445" r="1079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1496.60</w:t>
      </w:r>
      <w:r>
        <w:rPr>
          <w:rFonts w:hint="eastAsia" w:ascii="仿宋" w:hAnsi="仿宋" w:eastAsia="仿宋" w:cs="仿宋"/>
          <w:sz w:val="32"/>
          <w:szCs w:val="32"/>
          <w:highlight w:val="none"/>
        </w:rPr>
        <w:t>万元，其中本年支出</w:t>
      </w:r>
      <w:r>
        <w:rPr>
          <w:rFonts w:ascii="仿宋" w:hAnsi="仿宋" w:eastAsia="仿宋" w:cs="仿宋"/>
          <w:sz w:val="32"/>
          <w:u w:color="auto"/>
        </w:rPr>
        <w:t>1496.60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减少142.36</w:t>
      </w:r>
      <w:r>
        <w:rPr>
          <w:rFonts w:hint="eastAsia" w:ascii="仿宋" w:hAnsi="仿宋" w:eastAsia="仿宋" w:cs="仿宋"/>
          <w:sz w:val="32"/>
          <w:szCs w:val="32"/>
          <w:highlight w:val="none"/>
        </w:rPr>
        <w:t>万元，</w:t>
      </w:r>
      <w:r>
        <w:rPr>
          <w:rFonts w:ascii="仿宋" w:hAnsi="仿宋" w:eastAsia="仿宋" w:cs="仿宋"/>
          <w:sz w:val="32"/>
          <w:u w:color="auto"/>
        </w:rPr>
        <w:t>下降8.69%</w:t>
      </w:r>
      <w:r>
        <w:rPr>
          <w:rFonts w:hint="eastAsia" w:ascii="仿宋" w:hAnsi="仿宋" w:eastAsia="仿宋" w:cs="仿宋"/>
          <w:sz w:val="32"/>
          <w:szCs w:val="32"/>
          <w:highlight w:val="none"/>
        </w:rPr>
        <w:t>。支出具体情况如下：</w:t>
      </w:r>
    </w:p>
    <w:p>
      <w:pPr>
        <w:autoSpaceDE w:val="0"/>
        <w:autoSpaceDN w:val="0"/>
        <w:adjustRightInd w:val="0"/>
        <w:spacing w:line="560" w:lineRule="exact"/>
        <w:ind w:firstLine="627" w:firstLineChars="196"/>
        <w:jc w:val="left"/>
        <w:rPr>
          <w:rFonts w:hint="eastAsia" w:ascii="仿宋" w:hAnsi="仿宋" w:eastAsia="仿宋" w:cs="仿宋"/>
          <w:color w:val="auto"/>
          <w:kern w:val="0"/>
          <w:sz w:val="32"/>
          <w:szCs w:val="32"/>
          <w:lang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4.17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olor w:val="auto"/>
          <w:sz w:val="32"/>
          <w:szCs w:val="32"/>
        </w:rPr>
        <w:t>主要用于本部门为保证日常运转发生的基本支出和为完成各项工作任务、保障</w:t>
      </w:r>
      <w:r>
        <w:rPr>
          <w:rFonts w:hint="eastAsia" w:ascii="仿宋" w:hAnsi="仿宋" w:eastAsia="仿宋" w:cs="仿宋_GB2312"/>
          <w:color w:val="auto"/>
          <w:kern w:val="0"/>
          <w:sz w:val="32"/>
          <w:szCs w:val="32"/>
        </w:rPr>
        <w:t>单位事业</w:t>
      </w:r>
      <w:r>
        <w:rPr>
          <w:rFonts w:hint="eastAsia" w:ascii="仿宋" w:hAnsi="仿宋" w:eastAsia="仿宋"/>
          <w:color w:val="auto"/>
          <w:sz w:val="32"/>
          <w:szCs w:val="32"/>
        </w:rPr>
        <w:t>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减少10.66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下降71.88%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0"/>
          <w:sz w:val="32"/>
          <w:szCs w:val="32"/>
        </w:rPr>
        <w:t>主要原因是</w:t>
      </w:r>
      <w:r>
        <w:rPr>
          <w:rFonts w:hint="eastAsia" w:ascii="仿宋" w:hAnsi="仿宋" w:eastAsia="仿宋" w:cs="仿宋"/>
          <w:color w:val="auto"/>
          <w:kern w:val="0"/>
          <w:sz w:val="32"/>
          <w:szCs w:val="32"/>
          <w:lang w:eastAsia="zh-CN"/>
        </w:rPr>
        <w:t>减少日常基本支出。</w:t>
      </w:r>
    </w:p>
    <w:p>
      <w:pPr>
        <w:autoSpaceDE w:val="0"/>
        <w:autoSpaceDN w:val="0"/>
        <w:adjustRightInd w:val="0"/>
        <w:spacing w:line="560" w:lineRule="exact"/>
        <w:ind w:firstLine="627" w:firstLineChars="196"/>
        <w:jc w:val="left"/>
        <w:rPr>
          <w:rFonts w:hint="eastAsia" w:ascii="仿宋_GB2312" w:hAnsi="仿宋_GB2312" w:eastAsia="仿宋_GB2312" w:cs="仿宋_GB2312"/>
          <w:color w:val="auto"/>
          <w:kern w:val="0"/>
          <w:sz w:val="32"/>
          <w:szCs w:val="32"/>
          <w:lang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文化旅游体育与传媒支出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207</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1121.99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auto"/>
          <w:kern w:val="0"/>
          <w:sz w:val="32"/>
          <w:szCs w:val="32"/>
        </w:rPr>
        <w:t>主要用于文化、文物、体育等的行政、事业运行，文化活动，文物保护，体育竞赛，群众体育及广播影视</w:t>
      </w:r>
      <w:r>
        <w:rPr>
          <w:rFonts w:hint="eastAsia" w:ascii="仿宋_GB2312" w:hAnsi="仿宋_GB2312" w:eastAsia="仿宋_GB2312" w:cs="仿宋_GB2312"/>
          <w:bCs/>
          <w:color w:val="auto"/>
          <w:kern w:val="0"/>
          <w:sz w:val="32"/>
          <w:szCs w:val="32"/>
          <w:lang w:eastAsia="zh-CN"/>
        </w:rPr>
        <w:t>、其他文化体育与传媒</w:t>
      </w:r>
      <w:r>
        <w:rPr>
          <w:rFonts w:hint="eastAsia" w:ascii="仿宋_GB2312" w:hAnsi="仿宋_GB2312" w:eastAsia="仿宋_GB2312" w:cs="仿宋_GB2312"/>
          <w:bCs/>
          <w:color w:val="auto"/>
          <w:kern w:val="0"/>
          <w:sz w:val="32"/>
          <w:szCs w:val="32"/>
        </w:rPr>
        <w:t>等方面的支出。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减少319.10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下降22.14%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eastAsia="zh-CN"/>
        </w:rPr>
        <w:t>减少了应急广播项目建设经费。</w:t>
      </w:r>
    </w:p>
    <w:p>
      <w:pPr>
        <w:autoSpaceDE w:val="0"/>
        <w:autoSpaceDN w:val="0"/>
        <w:adjustRightInd w:val="0"/>
        <w:spacing w:line="560" w:lineRule="exact"/>
        <w:ind w:firstLine="627" w:firstLineChars="196"/>
        <w:jc w:val="left"/>
        <w:rPr>
          <w:rFonts w:hint="eastAsia" w:ascii="仿宋_GB2312" w:hAnsi="仿宋_GB2312" w:eastAsia="仿宋_GB2312" w:cs="仿宋_GB2312"/>
          <w:color w:val="auto"/>
          <w:kern w:val="0"/>
          <w:sz w:val="32"/>
          <w:szCs w:val="32"/>
          <w:lang w:val="en-US"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31.20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auto"/>
          <w:kern w:val="0"/>
          <w:sz w:val="32"/>
          <w:szCs w:val="32"/>
          <w:lang w:val="en-US" w:eastAsia="zh-CN"/>
        </w:rPr>
        <w:t>用于在职人员基本养老保险、基本医疗保险等支出</w:t>
      </w:r>
      <w:r>
        <w:rPr>
          <w:rFonts w:hint="eastAsia" w:ascii="仿宋_GB2312" w:hAnsi="仿宋_GB2312" w:eastAsia="仿宋_GB2312" w:cs="仿宋_GB2312"/>
          <w:color w:val="auto"/>
          <w:kern w:val="0"/>
          <w:sz w:val="32"/>
          <w:szCs w:val="32"/>
          <w:lang w:val="en-US" w:eastAsia="zh-CN"/>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减少0.65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下降2.04%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eastAsia="zh-CN"/>
        </w:rPr>
        <w:t>在职基本养老保险基数变动</w:t>
      </w:r>
      <w:r>
        <w:rPr>
          <w:rFonts w:hint="eastAsia" w:ascii="仿宋_GB2312" w:hAnsi="仿宋_GB2312" w:eastAsia="仿宋_GB2312" w:cs="仿宋_GB2312"/>
          <w:color w:val="auto"/>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225.99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疫情防控工作费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增加205.99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增长1029.95%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主要原因是：主要原因是疫情突出。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村级篮球场建设</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主要原因是：主要原因是历年结余继续使用。</w:t>
      </w:r>
    </w:p>
    <w:p>
      <w:pPr>
        <w:autoSpaceDE w:val="0"/>
        <w:autoSpaceDN w:val="0"/>
        <w:adjustRightInd w:val="0"/>
        <w:spacing w:line="560" w:lineRule="exact"/>
        <w:ind w:firstLine="627" w:firstLineChars="196"/>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6</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23.86</w:t>
      </w:r>
      <w:r>
        <w:rPr>
          <w:rFonts w:hint="eastAsia" w:ascii="仿宋" w:hAnsi="仿宋" w:eastAsia="仿宋" w:cs="仿宋"/>
          <w:sz w:val="32"/>
          <w:szCs w:val="32"/>
          <w:highlight w:val="none"/>
        </w:rPr>
        <w:t>万元：</w:t>
      </w:r>
      <w:r>
        <w:rPr>
          <w:rFonts w:hint="eastAsia" w:ascii="仿宋_GB2312" w:hAnsi="仿宋_GB2312" w:eastAsia="仿宋_GB2312" w:cs="仿宋_GB2312"/>
          <w:color w:val="auto"/>
          <w:kern w:val="0"/>
          <w:sz w:val="32"/>
          <w:szCs w:val="32"/>
        </w:rPr>
        <w:t>主要用于按照国家政策规定向职工发放的住房公积金、提租补贴、购房补贴等住房改革方面的支出。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减少0.83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下降3.36%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eastAsia="zh-CN"/>
        </w:rPr>
        <w:t>减少调出人员的数</w:t>
      </w:r>
      <w:r>
        <w:rPr>
          <w:rFonts w:hint="eastAsia" w:ascii="仿宋_GB2312" w:hAnsi="仿宋_GB2312" w:eastAsia="仿宋_GB2312" w:cs="仿宋_GB2312"/>
          <w:color w:val="auto"/>
          <w:kern w:val="0"/>
          <w:sz w:val="32"/>
          <w:szCs w:val="32"/>
        </w:rPr>
        <w:t>。</w:t>
      </w:r>
    </w:p>
    <w:p>
      <w:pPr>
        <w:autoSpaceDE w:val="0"/>
        <w:autoSpaceDN w:val="0"/>
        <w:adjustRightInd w:val="0"/>
        <w:spacing w:line="560" w:lineRule="exact"/>
        <w:ind w:firstLine="627" w:firstLineChars="196"/>
        <w:jc w:val="left"/>
        <w:rPr>
          <w:rFonts w:hint="eastAsia" w:ascii="仿宋_GB2312" w:hAnsi="仿宋_GB2312" w:eastAsia="仿宋_GB2312" w:cs="仿宋_GB2312"/>
          <w:color w:val="auto"/>
          <w:kern w:val="0"/>
          <w:sz w:val="32"/>
          <w:szCs w:val="32"/>
        </w:rPr>
      </w:pPr>
      <w:r>
        <w:rPr>
          <w:rFonts w:hint="eastAsia" w:ascii="仿宋" w:hAnsi="仿宋" w:eastAsia="仿宋" w:cs="仿宋"/>
          <w:sz w:val="32"/>
          <w:szCs w:val="32"/>
          <w:highlight w:val="none"/>
        </w:rPr>
        <w:t>7</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79.39</w:t>
      </w:r>
      <w:r>
        <w:rPr>
          <w:rFonts w:hint="eastAsia" w:ascii="仿宋" w:hAnsi="仿宋" w:eastAsia="仿宋" w:cs="仿宋"/>
          <w:sz w:val="32"/>
          <w:szCs w:val="32"/>
          <w:highlight w:val="none"/>
        </w:rPr>
        <w:t>万元：</w:t>
      </w:r>
      <w:r>
        <w:rPr>
          <w:rFonts w:hint="eastAsia" w:ascii="仿宋_GB2312" w:hAnsi="仿宋_GB2312" w:eastAsia="仿宋_GB2312" w:cs="仿宋_GB2312"/>
          <w:color w:val="auto"/>
          <w:kern w:val="0"/>
          <w:sz w:val="32"/>
          <w:szCs w:val="32"/>
          <w:lang w:eastAsia="zh-CN"/>
        </w:rPr>
        <w:t>主要用于体育事业的彩票公益金等其他支出。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减少27.11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下降25.46%</w:t>
      </w:r>
      <w:r>
        <w:rPr>
          <w:rFonts w:hint="eastAsia" w:ascii="仿宋" w:hAnsi="仿宋" w:eastAsia="仿宋" w:cs="仿宋"/>
          <w:sz w:val="32"/>
          <w:szCs w:val="32"/>
          <w:highlight w:val="none"/>
        </w:rPr>
        <w:t>，</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eastAsia="zh-CN"/>
        </w:rPr>
        <w:t>减少了体育事业项目经费</w:t>
      </w:r>
      <w:r>
        <w:rPr>
          <w:rFonts w:hint="eastAsia" w:ascii="仿宋_GB2312" w:hAnsi="仿宋_GB2312" w:eastAsia="仿宋_GB2312" w:cs="仿宋_GB2312"/>
          <w:color w:val="auto"/>
          <w:kern w:val="0"/>
          <w:sz w:val="32"/>
          <w:szCs w:val="32"/>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spacing w:val="6"/>
          <w:kern w:val="0"/>
          <w:sz w:val="32"/>
          <w:szCs w:val="32"/>
        </w:rPr>
        <w:t>主要原因是</w:t>
      </w:r>
      <w:r>
        <w:rPr>
          <w:rFonts w:hint="eastAsia" w:ascii="仿宋" w:hAnsi="仿宋" w:eastAsia="仿宋" w:cs="仿宋"/>
          <w:color w:val="auto"/>
          <w:spacing w:val="6"/>
          <w:kern w:val="0"/>
          <w:sz w:val="32"/>
          <w:szCs w:val="32"/>
          <w:lang w:eastAsia="zh-CN"/>
        </w:rPr>
        <w:t>无</w:t>
      </w:r>
      <w:r>
        <w:rPr>
          <w:rFonts w:hint="eastAsia" w:ascii="仿宋_GB2312" w:hAnsi="仿宋_GB2312" w:eastAsia="仿宋_GB2312" w:cs="仿宋_GB2312"/>
          <w:color w:val="auto"/>
          <w:kern w:val="0"/>
          <w:sz w:val="32"/>
          <w:szCs w:val="32"/>
        </w:rPr>
        <w:t>结余分配</w:t>
      </w:r>
      <w:r>
        <w:rPr>
          <w:rFonts w:hint="eastAsia" w:ascii="仿宋_GB2312" w:hAnsi="仿宋_GB2312" w:eastAsia="仿宋_GB2312" w:cs="仿宋_GB2312"/>
          <w:color w:val="auto"/>
          <w:kern w:val="0"/>
          <w:sz w:val="32"/>
          <w:szCs w:val="32"/>
          <w:lang w:eastAsia="zh-CN"/>
        </w:rPr>
        <w:t>数。</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color w:val="auto"/>
          <w:sz w:val="32"/>
          <w:szCs w:val="32"/>
          <w:highlight w:val="none"/>
          <w:lang w:eastAsia="zh-CN" w:bidi="ar"/>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pacing w:val="6"/>
          <w:kern w:val="0"/>
          <w:sz w:val="32"/>
          <w:szCs w:val="32"/>
        </w:rPr>
        <w:t>主要原因是</w:t>
      </w:r>
      <w:r>
        <w:rPr>
          <w:rFonts w:hint="eastAsia" w:ascii="仿宋" w:hAnsi="仿宋" w:eastAsia="仿宋" w:cs="仿宋"/>
          <w:color w:val="auto"/>
          <w:spacing w:val="6"/>
          <w:kern w:val="0"/>
          <w:sz w:val="32"/>
          <w:szCs w:val="32"/>
          <w:lang w:eastAsia="zh-CN"/>
        </w:rPr>
        <w:t>无</w:t>
      </w:r>
      <w:r>
        <w:rPr>
          <w:rFonts w:hint="eastAsia" w:ascii="仿宋" w:hAnsi="仿宋" w:eastAsia="仿宋" w:cs="仿宋"/>
          <w:color w:val="auto"/>
          <w:sz w:val="32"/>
          <w:szCs w:val="32"/>
          <w:highlight w:val="none"/>
        </w:rPr>
        <w:t>年末结转和结余</w:t>
      </w:r>
      <w:r>
        <w:rPr>
          <w:rFonts w:hint="eastAsia" w:ascii="仿宋_GB2312" w:hAnsi="仿宋_GB2312" w:eastAsia="仿宋_GB2312" w:cs="仿宋_GB2312"/>
          <w:color w:val="auto"/>
          <w:kern w:val="0"/>
          <w:sz w:val="32"/>
          <w:szCs w:val="32"/>
          <w:lang w:eastAsia="zh-CN"/>
        </w:rPr>
        <w:t>数。</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60875" cy="2784475"/>
            <wp:effectExtent l="4445" t="5080" r="11430"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环江毛南族自治县文化广电体育和旅游局2022年度一般公共预算财政拨款支出</w:t>
      </w:r>
      <w:r>
        <w:rPr>
          <w:rFonts w:ascii="仿宋" w:hAnsi="仿宋" w:eastAsia="仿宋" w:cs="仿宋"/>
          <w:sz w:val="32"/>
          <w:u w:color="auto"/>
        </w:rPr>
        <w:t>1461.72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减少117.94</w:t>
      </w:r>
      <w:r>
        <w:rPr>
          <w:rFonts w:hint="eastAsia" w:ascii="仿宋" w:hAnsi="仿宋" w:eastAsia="仿宋" w:cs="仿宋"/>
          <w:sz w:val="32"/>
          <w:szCs w:val="32"/>
          <w:highlight w:val="none"/>
        </w:rPr>
        <w:t>万元，</w:t>
      </w:r>
      <w:r>
        <w:rPr>
          <w:rFonts w:ascii="仿宋" w:hAnsi="仿宋" w:eastAsia="仿宋" w:cs="仿宋"/>
          <w:sz w:val="32"/>
          <w:u w:color="auto"/>
        </w:rPr>
        <w:t>下降7.47%</w:t>
      </w:r>
      <w:r>
        <w:rPr>
          <w:rFonts w:hint="eastAsia" w:ascii="仿宋" w:hAnsi="仿宋" w:eastAsia="仿宋" w:cs="仿宋"/>
          <w:sz w:val="32"/>
          <w:szCs w:val="32"/>
          <w:highlight w:val="none"/>
        </w:rPr>
        <w:t>。其中：基本支出</w:t>
      </w:r>
      <w:r>
        <w:rPr>
          <w:rFonts w:ascii="仿宋" w:hAnsi="仿宋" w:eastAsia="仿宋" w:cs="仿宋"/>
          <w:sz w:val="32"/>
          <w:u w:color="auto"/>
        </w:rPr>
        <w:t>289.93</w:t>
      </w:r>
      <w:r>
        <w:rPr>
          <w:rFonts w:hint="eastAsia" w:ascii="仿宋" w:hAnsi="仿宋" w:eastAsia="仿宋" w:cs="仿宋"/>
          <w:sz w:val="32"/>
          <w:szCs w:val="32"/>
          <w:highlight w:val="none"/>
        </w:rPr>
        <w:t>万元，项目支出</w:t>
      </w:r>
      <w:r>
        <w:rPr>
          <w:rFonts w:ascii="仿宋" w:hAnsi="仿宋" w:eastAsia="仿宋" w:cs="仿宋"/>
          <w:sz w:val="32"/>
          <w:u w:color="auto"/>
        </w:rPr>
        <w:t>1171.79</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环江毛南族自治县文化广电体育和旅游局2022 年度一般公共预算财政拨款支出年初预算为</w:t>
      </w:r>
      <w:r>
        <w:rPr>
          <w:rFonts w:ascii="仿宋" w:hAnsi="仿宋" w:eastAsia="仿宋" w:cs="仿宋"/>
          <w:sz w:val="32"/>
          <w:u w:color="auto"/>
        </w:rPr>
        <w:t>611.13</w:t>
      </w:r>
      <w:r>
        <w:rPr>
          <w:rFonts w:hint="eastAsia" w:ascii="仿宋" w:hAnsi="仿宋" w:eastAsia="仿宋" w:cs="仿宋"/>
          <w:sz w:val="32"/>
          <w:szCs w:val="32"/>
          <w:highlight w:val="none"/>
        </w:rPr>
        <w:t>万元，支出决算为</w:t>
      </w:r>
      <w:r>
        <w:rPr>
          <w:rFonts w:ascii="仿宋" w:hAnsi="仿宋" w:eastAsia="仿宋" w:cs="仿宋"/>
          <w:sz w:val="32"/>
          <w:u w:color="auto"/>
        </w:rPr>
        <w:t>1461.72</w:t>
      </w:r>
      <w:r>
        <w:rPr>
          <w:rFonts w:hint="eastAsia" w:ascii="仿宋" w:hAnsi="仿宋" w:eastAsia="仿宋" w:cs="仿宋"/>
          <w:sz w:val="32"/>
          <w:szCs w:val="32"/>
          <w:highlight w:val="none"/>
        </w:rPr>
        <w:t>万元，完成年初预算的</w:t>
      </w:r>
      <w:r>
        <w:rPr>
          <w:rFonts w:ascii="仿宋" w:hAnsi="仿宋" w:eastAsia="仿宋" w:cs="仿宋"/>
          <w:sz w:val="32"/>
          <w:u w:color="auto"/>
        </w:rPr>
        <w:t>239.18%</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4.17</w:t>
      </w:r>
      <w:r>
        <w:rPr>
          <w:rFonts w:hint="eastAsia" w:ascii="仿宋" w:hAnsi="仿宋" w:eastAsia="仿宋"/>
          <w:sz w:val="32"/>
          <w:szCs w:val="32"/>
          <w:highlight w:val="none"/>
        </w:rPr>
        <w:t>万元，支出决算为</w:t>
      </w:r>
      <w:r>
        <w:rPr>
          <w:rFonts w:ascii="仿宋" w:hAnsi="仿宋" w:eastAsia="仿宋"/>
          <w:sz w:val="32"/>
          <w:szCs w:val="32"/>
          <w:highlight w:val="none"/>
        </w:rPr>
        <w:t>4.17</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eastAsia="仿宋_GB2312" w:cs="仿宋_GB2312"/>
                <w:color w:val="auto"/>
                <w:kern w:val="0"/>
                <w:sz w:val="21"/>
                <w:szCs w:val="21"/>
                <w:lang w:val="en-US" w:eastAsia="zh-CN"/>
              </w:rPr>
              <w:t>用于在职人员工会费活动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按计划完成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文化旅游体育与传媒支出</w:t>
      </w:r>
      <w:r>
        <w:rPr>
          <w:rFonts w:ascii="仿宋" w:hAnsi="仿宋" w:eastAsia="仿宋"/>
          <w:sz w:val="32"/>
          <w:u w:color="auto"/>
        </w:rPr>
        <w:t>（207</w:t>
      </w:r>
      <w:r>
        <w:rPr>
          <w:rFonts w:hint="eastAsia" w:ascii="仿宋" w:hAnsi="仿宋" w:eastAsia="仿宋"/>
          <w:sz w:val="32"/>
          <w:szCs w:val="32"/>
          <w:highlight w:val="none"/>
        </w:rPr>
        <w:t>类）年初预算为</w:t>
      </w:r>
      <w:r>
        <w:rPr>
          <w:rFonts w:ascii="仿宋" w:hAnsi="仿宋" w:eastAsia="仿宋"/>
          <w:sz w:val="32"/>
          <w:szCs w:val="32"/>
          <w:highlight w:val="none"/>
        </w:rPr>
        <w:t>552.52</w:t>
      </w:r>
      <w:r>
        <w:rPr>
          <w:rFonts w:hint="eastAsia" w:ascii="仿宋" w:hAnsi="仿宋" w:eastAsia="仿宋"/>
          <w:sz w:val="32"/>
          <w:szCs w:val="32"/>
          <w:highlight w:val="none"/>
        </w:rPr>
        <w:t>万元，支出决算为</w:t>
      </w:r>
      <w:r>
        <w:rPr>
          <w:rFonts w:ascii="仿宋" w:hAnsi="仿宋" w:eastAsia="仿宋"/>
          <w:sz w:val="32"/>
          <w:szCs w:val="32"/>
          <w:highlight w:val="none"/>
        </w:rPr>
        <w:t>1121.99</w:t>
      </w:r>
      <w:r>
        <w:rPr>
          <w:rFonts w:hint="eastAsia" w:ascii="仿宋" w:hAnsi="仿宋" w:eastAsia="仿宋"/>
          <w:sz w:val="32"/>
          <w:szCs w:val="32"/>
          <w:highlight w:val="none"/>
        </w:rPr>
        <w:t>万元，完成年初预算的</w:t>
      </w:r>
      <w:r>
        <w:rPr>
          <w:rFonts w:ascii="仿宋" w:hAnsi="仿宋" w:eastAsia="仿宋"/>
          <w:sz w:val="32"/>
          <w:szCs w:val="32"/>
          <w:highlight w:val="none"/>
        </w:rPr>
        <w:t>203.07%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原因是增加上级专项目资金。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252.62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255.51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101.14%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主要用于人员五险及日常业务费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年中增加调入人员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282.58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141.29%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主要用旅游工作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增加项目经费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文化活动</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主要用酝文化活动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文化活动次数减少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群众文化</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主要用于群众文化活动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文化活动减少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2070112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文化和旅游市场管理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主要用市场管理费用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按计划完成任务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其他文化和旅游支出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303.44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12643.33%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主要用于其他文化旅游支出费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增加上级专项目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2070305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体育竞赛</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176.30%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主要用于外出参加体育竞赛活动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增加活动费用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2070307</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体育场馆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172.50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主要用于体育场馆工作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增加上级专项费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2070308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群众体育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42.95%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主要用于群众体育活动费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减少活动次数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2070309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体育交流与合作</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主要用于体育活动费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减少活动次数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2070808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广播电视事务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主要用于各乡镇广播台站电费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增加上级专款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2070899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其他广播电视支出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主要用于各乡镇广播台站电费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增加上级专款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其他文化旅游体育与传媒支出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主要用于其他文化旅游体育活动费用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年中追加活动经费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552.52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1121.99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30.95</w:t>
      </w:r>
      <w:r>
        <w:rPr>
          <w:rFonts w:hint="eastAsia" w:ascii="仿宋" w:hAnsi="仿宋" w:eastAsia="仿宋"/>
          <w:sz w:val="32"/>
          <w:szCs w:val="32"/>
          <w:highlight w:val="none"/>
        </w:rPr>
        <w:t>万元，支出决算为</w:t>
      </w:r>
      <w:r>
        <w:rPr>
          <w:rFonts w:ascii="仿宋" w:hAnsi="仿宋" w:eastAsia="仿宋"/>
          <w:sz w:val="32"/>
          <w:szCs w:val="32"/>
          <w:highlight w:val="none"/>
        </w:rPr>
        <w:t>31.20</w:t>
      </w:r>
      <w:r>
        <w:rPr>
          <w:rFonts w:hint="eastAsia" w:ascii="仿宋" w:hAnsi="仿宋" w:eastAsia="仿宋"/>
          <w:sz w:val="32"/>
          <w:szCs w:val="32"/>
          <w:highlight w:val="none"/>
        </w:rPr>
        <w:t>万元，完成年初预算的</w:t>
      </w:r>
      <w:r>
        <w:rPr>
          <w:rFonts w:ascii="仿宋" w:hAnsi="仿宋" w:eastAsia="仿宋"/>
          <w:sz w:val="32"/>
          <w:szCs w:val="32"/>
          <w:highlight w:val="none"/>
        </w:rPr>
        <w:t>100.81%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原因是预</w:t>
      </w:r>
      <w:r>
        <w:rPr>
          <w:rFonts w:hint="eastAsia" w:ascii="仿宋" w:hAnsi="仿宋" w:eastAsia="仿宋"/>
          <w:color w:val="000000" w:themeColor="text1"/>
          <w:sz w:val="32"/>
          <w:szCs w:val="32"/>
          <w:highlight w:val="none"/>
          <w14:textFill>
            <w14:solidFill>
              <w14:schemeClr w14:val="tx1"/>
            </w14:solidFill>
          </w14:textFill>
        </w:rPr>
        <w:t>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auto"/>
          <w:kern w:val="0"/>
          <w:sz w:val="32"/>
          <w:szCs w:val="32"/>
          <w:lang w:eastAsia="zh-CN"/>
        </w:rPr>
        <w:t>在职基本养老保险基数变动</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31.20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100.81%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_GB2312" w:eastAsia="仿宋_GB2312" w:cs="仿宋_GB2312"/>
                <w:color w:val="auto"/>
                <w:kern w:val="0"/>
                <w:sz w:val="21"/>
                <w:szCs w:val="21"/>
                <w:lang w:val="en-US" w:eastAsia="zh-CN"/>
              </w:rPr>
              <w:t>用于在职人员基本养老保险支出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_GB2312" w:hAnsi="仿宋_GB2312" w:eastAsia="仿宋_GB2312" w:cs="仿宋_GB2312"/>
                <w:color w:val="auto"/>
                <w:kern w:val="0"/>
                <w:sz w:val="21"/>
                <w:szCs w:val="21"/>
                <w:lang w:eastAsia="zh-CN"/>
              </w:rPr>
              <w:t>在职基本养老保险基数变动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31.20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26360"/>
            <wp:effectExtent l="4445" t="4445" r="16510" b="1714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225.99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w:t>
      </w:r>
      <w:r>
        <w:rPr>
          <w:rFonts w:hint="eastAsia" w:ascii="仿宋" w:hAnsi="仿宋" w:eastAsia="仿宋" w:cs="仿宋"/>
          <w:color w:val="auto"/>
          <w:kern w:val="2"/>
          <w:sz w:val="32"/>
          <w:szCs w:val="32"/>
          <w:highlight w:val="none"/>
          <w:lang w:val="en-US" w:eastAsia="zh-CN" w:bidi="ar"/>
        </w:rPr>
        <w:t>疫情突出发生。</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2100410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突发公共卫生事件应急处理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225.99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主要用于疫情防控费用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年疫情突发事件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225.99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492375"/>
            <wp:effectExtent l="4445" t="4445" r="16510" b="1778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10.00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继续用上年结余资金。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农村基础设施建设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主要用于基础设施建设</w:t>
            </w:r>
            <w:r>
              <w:rPr>
                <w:rFonts w:hint="eastAsia" w:ascii="仿宋" w:hAnsi="仿宋" w:eastAsia="仿宋" w:cs="仿宋"/>
                <w:color w:val="FF0000"/>
                <w:sz w:val="21"/>
                <w:szCs w:val="21"/>
                <w:highlight w:val="none"/>
                <w:lang w:val="en-US" w:eastAsia="zh-CN"/>
              </w:rPr>
              <w:t>　</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tabs>
                <w:tab w:val="left" w:pos="218"/>
              </w:tabs>
              <w:spacing w:before="0" w:beforeAutospacing="0" w:after="0" w:afterAutospacing="0"/>
              <w:ind w:left="0" w:leftChars="0" w:right="0" w:right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ab/>
            </w:r>
            <w:r>
              <w:rPr>
                <w:rFonts w:hint="eastAsia" w:ascii="仿宋" w:hAnsi="仿宋" w:eastAsia="仿宋" w:cs="仿宋"/>
                <w:color w:val="auto"/>
                <w:kern w:val="2"/>
                <w:sz w:val="24"/>
                <w:szCs w:val="24"/>
                <w:highlight w:val="none"/>
                <w:lang w:val="en-US" w:eastAsia="zh-CN" w:bidi="ar"/>
              </w:rPr>
              <w:t>继续用上年结余资金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23.49</w:t>
      </w:r>
      <w:r>
        <w:rPr>
          <w:rFonts w:hint="eastAsia" w:ascii="仿宋" w:hAnsi="仿宋" w:eastAsia="仿宋"/>
          <w:sz w:val="32"/>
          <w:szCs w:val="32"/>
          <w:highlight w:val="none"/>
        </w:rPr>
        <w:t>万元，支出决算为</w:t>
      </w:r>
      <w:r>
        <w:rPr>
          <w:rFonts w:ascii="仿宋" w:hAnsi="仿宋" w:eastAsia="仿宋"/>
          <w:sz w:val="32"/>
          <w:szCs w:val="32"/>
          <w:highlight w:val="none"/>
        </w:rPr>
        <w:t>23.86</w:t>
      </w:r>
      <w:r>
        <w:rPr>
          <w:rFonts w:hint="eastAsia" w:ascii="仿宋" w:hAnsi="仿宋" w:eastAsia="仿宋"/>
          <w:sz w:val="32"/>
          <w:szCs w:val="32"/>
          <w:highlight w:val="none"/>
        </w:rPr>
        <w:t>万元，完成年初预算的</w:t>
      </w:r>
      <w:r>
        <w:rPr>
          <w:rFonts w:ascii="仿宋" w:hAnsi="仿宋" w:eastAsia="仿宋"/>
          <w:sz w:val="32"/>
          <w:szCs w:val="32"/>
          <w:highlight w:val="none"/>
        </w:rPr>
        <w:t>101.58%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原因是增加调入人员。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101.58%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_GB2312" w:hAnsi="仿宋_GB2312" w:eastAsia="仿宋_GB2312" w:cs="仿宋_GB2312"/>
                <w:color w:val="auto"/>
                <w:kern w:val="0"/>
                <w:sz w:val="21"/>
                <w:szCs w:val="21"/>
              </w:rPr>
              <w:t>主要用于按照国家政策规定向职工发放的住房公积金、提租补贴、购房补贴等住房改革方面的支出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tabs>
                <w:tab w:val="left" w:pos="233"/>
              </w:tabs>
              <w:spacing w:before="0" w:beforeAutospacing="0" w:after="0" w:afterAutospacing="0"/>
              <w:ind w:left="0" w:leftChars="0" w:right="0" w:right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ab/>
            </w:r>
            <w:r>
              <w:rPr>
                <w:rFonts w:hint="eastAsia" w:ascii="宋体" w:hAnsi="宋体" w:eastAsia="宋体" w:cs="宋体"/>
                <w:i w:val="0"/>
                <w:iCs w:val="0"/>
                <w:color w:val="auto"/>
                <w:sz w:val="18"/>
                <w:szCs w:val="18"/>
                <w:highlight w:val="none"/>
                <w:u w:val="none"/>
                <w:lang w:val="en-US" w:eastAsia="zh-CN"/>
              </w:rPr>
              <w:t>主要</w:t>
            </w:r>
            <w:r>
              <w:rPr>
                <w:rFonts w:hint="eastAsia" w:ascii="仿宋" w:hAnsi="仿宋" w:eastAsia="仿宋"/>
                <w:color w:val="000000" w:themeColor="text1"/>
                <w:sz w:val="24"/>
                <w:szCs w:val="24"/>
                <w:highlight w:val="none"/>
                <w:lang w:val="en-US" w:eastAsia="zh-CN"/>
                <w14:textFill>
                  <w14:solidFill>
                    <w14:schemeClr w14:val="tx1"/>
                  </w14:solidFill>
                </w14:textFill>
              </w:rPr>
              <w:t>增加调入人员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44.51</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auto"/>
          <w:kern w:val="0"/>
          <w:sz w:val="32"/>
          <w:szCs w:val="32"/>
        </w:rPr>
        <w:t>主要</w:t>
      </w:r>
      <w:r>
        <w:rPr>
          <w:rFonts w:hint="eastAsia" w:ascii="仿宋_GB2312" w:hAnsi="仿宋_GB2312" w:eastAsia="仿宋_GB2312" w:cs="仿宋_GB2312"/>
          <w:color w:val="auto"/>
          <w:kern w:val="0"/>
          <w:sz w:val="32"/>
          <w:szCs w:val="32"/>
          <w:lang w:eastAsia="zh-CN"/>
        </w:rPr>
        <w:t>减少了体育事业项目经费</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主要用于体育事业项目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增加体育彩票公益金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环江毛南族自治县文化广电体育和旅游局2022年度一般公共预算财政拨款基本支出</w:t>
      </w:r>
      <w:r>
        <w:rPr>
          <w:rFonts w:ascii="仿宋" w:hAnsi="仿宋" w:eastAsia="仿宋" w:cs="仿宋"/>
          <w:sz w:val="32"/>
          <w:u w:color="auto"/>
        </w:rPr>
        <w:t>289.93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278.46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11.47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265.57万元，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109.52%</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主要原因是年中增加调入人员。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92.74万元，30102津贴补贴51.59万元，30103奖金5.47万元，30106伙食补助费4.40万元，30107绩效工资33.99万元，30108机关事业单位基本养老保险缴费31.20万元，30110职工基本医疗保险缴费14.93万元，30112其他社会保障缴费0.33万元，30113住房公积金23.86万元，30199其他工资福利支出7.07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0129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11.47万元，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44.56%</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财政资金紧张未能及时支付。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30201办公费0.09万元，30202印刷费1.96万元，30205水费0.16万元，30207邮电费4.52万元，30228工会经费4.17万元，30239其他交通费用0.50万元，30299其他商品和服务支出0.06万元。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12.89万元，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102.79%</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增加退休人员经费。</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增加退休人员。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30305生活补助12.89万元。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727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债务利息及费用支出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78125"/>
            <wp:effectExtent l="4445" t="4445" r="16510" b="17780"/>
            <wp:docPr id="2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3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环江毛南族自治县文化广电体育和旅游局2022年度政府性基金支出</w:t>
      </w:r>
      <w:r>
        <w:rPr>
          <w:rFonts w:ascii="仿宋" w:hAnsi="仿宋" w:eastAsia="仿宋" w:cs="仿宋"/>
          <w:sz w:val="32"/>
          <w:szCs w:val="32"/>
          <w:highlight w:val="none"/>
        </w:rPr>
        <w:t>34.88</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减少24.42</w:t>
      </w:r>
      <w:r>
        <w:rPr>
          <w:rFonts w:hint="eastAsia" w:ascii="仿宋" w:hAnsi="仿宋" w:eastAsia="仿宋" w:cs="仿宋"/>
          <w:sz w:val="32"/>
          <w:szCs w:val="32"/>
          <w:highlight w:val="none"/>
        </w:rPr>
        <w:t>万元，</w:t>
      </w:r>
      <w:r>
        <w:rPr>
          <w:rFonts w:ascii="仿宋" w:hAnsi="仿宋" w:eastAsia="仿宋" w:cs="仿宋"/>
          <w:sz w:val="32"/>
          <w:szCs w:val="32"/>
          <w:highlight w:val="none"/>
        </w:rPr>
        <w:t>下降41.18%</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34.88</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环江毛南族自治县文化广电体育和旅游局2022年度政府性基金支出年初预算为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34.88</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0"/>
          <w:sz w:val="32"/>
          <w:szCs w:val="32"/>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u w:color="auto"/>
        </w:rPr>
        <w:t>1)其他支出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用于体育事业的彩票公益金支出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2296003</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万元，支出决算为</w:t>
      </w:r>
      <w:r>
        <w:rPr>
          <w:rFonts w:ascii="仿宋" w:hAnsi="仿宋" w:eastAsia="仿宋" w:cs="仿宋"/>
          <w:color w:val="000000"/>
          <w:sz w:val="32"/>
          <w:u w:color="auto"/>
        </w:rPr>
        <w:t>34.88</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u w:color="auto"/>
        </w:rPr>
        <w:t>100%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形成</w:t>
      </w:r>
      <w:r>
        <w:rPr>
          <w:rFonts w:hint="eastAsia" w:ascii="仿宋" w:hAnsi="仿宋" w:eastAsia="仿宋" w:cs="仿宋"/>
          <w:color w:val="000000" w:themeColor="text1"/>
          <w:sz w:val="32"/>
          <w:szCs w:val="32"/>
          <w:highlight w:val="none"/>
          <w14:textFill>
            <w14:solidFill>
              <w14:schemeClr w14:val="tx1"/>
            </w14:solidFill>
          </w14:textFill>
        </w:rPr>
        <w:t>预决算差异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增加体育彩票公益金。</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环江毛南族自治县文化广电体育和旅游局2022年度国有资本经营预算支出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环江毛南族自治县文化广电体育和旅游局2022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环江毛南族自治县文化广电体育和旅游局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3.09</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增加2.60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主要原因是支付2021年的三公经费中的餐费。</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3.09</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原因是本单位本年度无因公出国。</w:t>
      </w:r>
    </w:p>
    <w:p>
      <w:pPr>
        <w:numPr>
          <w:ilvl w:val="0"/>
          <w:numId w:val="0"/>
        </w:numPr>
        <w:jc w:val="left"/>
        <w:rPr>
          <w:rFonts w:hint="eastAsia" w:ascii="仿宋" w:hAnsi="仿宋" w:eastAsia="仿宋" w:cs="仿宋"/>
          <w:color w:val="FF0000"/>
          <w:sz w:val="32"/>
          <w:szCs w:val="32"/>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sz w:val="32"/>
          <w:szCs w:val="32"/>
          <w:highlight w:val="none"/>
          <w:lang w:eastAsia="zh-CN"/>
        </w:rPr>
        <w:t>本年度无</w:t>
      </w:r>
      <w:r>
        <w:rPr>
          <w:rFonts w:hint="eastAsia" w:ascii="仿宋" w:hAnsi="仿宋" w:eastAsia="仿宋" w:cs="仿宋"/>
          <w:sz w:val="32"/>
          <w:szCs w:val="32"/>
          <w:highlight w:val="none"/>
        </w:rPr>
        <w:t>公务用车购置及运行维护费</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2022年，</w:t>
      </w:r>
      <w:r>
        <w:rPr>
          <w:rFonts w:ascii="仿宋" w:hAnsi="仿宋" w:eastAsia="仿宋" w:cs="仿宋"/>
          <w:sz w:val="32"/>
          <w:u w:color="auto"/>
        </w:rPr>
        <w:t>广西河池环江毛南族自治县文化广电体育和旅游局</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single"/>
          <w:lang w:val="en-US" w:eastAsia="zh-CN"/>
        </w:rPr>
        <w:t xml:space="preserve">  4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3.09</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增加2.60</w:t>
      </w:r>
      <w:r>
        <w:rPr>
          <w:rFonts w:hint="eastAsia" w:ascii="仿宋" w:hAnsi="仿宋" w:eastAsia="仿宋" w:cs="仿宋"/>
          <w:sz w:val="32"/>
          <w:szCs w:val="32"/>
          <w:highlight w:val="none"/>
        </w:rPr>
        <w:t>万元，</w:t>
      </w:r>
      <w:r>
        <w:rPr>
          <w:rFonts w:hint="eastAsia" w:ascii="仿宋_GB2312" w:hAnsi="仿宋_GB2312" w:eastAsia="仿宋_GB2312" w:cs="仿宋_GB2312"/>
          <w:bCs/>
          <w:color w:val="auto"/>
          <w:kern w:val="0"/>
          <w:sz w:val="32"/>
          <w:szCs w:val="32"/>
          <w:highlight w:val="none"/>
        </w:rPr>
        <w:t>主要原因是</w:t>
      </w:r>
      <w:r>
        <w:rPr>
          <w:rFonts w:hint="eastAsia" w:ascii="仿宋_GB2312" w:hAnsi="仿宋_GB2312" w:eastAsia="仿宋_GB2312" w:cs="仿宋_GB2312"/>
          <w:bCs/>
          <w:color w:val="auto"/>
          <w:kern w:val="0"/>
          <w:sz w:val="32"/>
          <w:szCs w:val="32"/>
          <w:highlight w:val="none"/>
          <w:lang w:eastAsia="zh-CN"/>
        </w:rPr>
        <w:t>接待次数增加，支付</w:t>
      </w:r>
      <w:r>
        <w:rPr>
          <w:rFonts w:hint="eastAsia" w:ascii="仿宋_GB2312" w:hAnsi="仿宋_GB2312" w:eastAsia="仿宋_GB2312" w:cs="仿宋_GB2312"/>
          <w:bCs/>
          <w:color w:val="auto"/>
          <w:kern w:val="0"/>
          <w:sz w:val="32"/>
          <w:szCs w:val="32"/>
          <w:highlight w:val="none"/>
          <w:lang w:val="en-US" w:eastAsia="zh-CN"/>
        </w:rPr>
        <w:t>2021年的接待餐费</w:t>
      </w:r>
      <w:r>
        <w:rPr>
          <w:rFonts w:hint="eastAsia" w:ascii="仿宋_GB2312" w:hAnsi="仿宋_GB2312" w:eastAsia="仿宋_GB2312" w:cs="仿宋_GB2312"/>
          <w:bCs/>
          <w:color w:val="auto"/>
          <w:kern w:val="0"/>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32</w:t>
      </w:r>
      <w:r>
        <w:rPr>
          <w:rFonts w:hint="eastAsia" w:ascii="仿宋" w:hAnsi="仿宋" w:eastAsia="仿宋" w:cs="仿宋"/>
          <w:sz w:val="32"/>
          <w:szCs w:val="32"/>
          <w:highlight w:val="none"/>
        </w:rPr>
        <w:t>次，人次</w:t>
      </w:r>
      <w:r>
        <w:rPr>
          <w:rFonts w:ascii="仿宋" w:hAnsi="仿宋" w:eastAsia="仿宋" w:cs="仿宋"/>
          <w:sz w:val="32"/>
          <w:szCs w:val="32"/>
          <w:highlight w:val="none"/>
        </w:rPr>
        <w:t>256</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11.47</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减少14.27</w:t>
      </w:r>
      <w:r>
        <w:rPr>
          <w:rFonts w:hint="eastAsia" w:ascii="仿宋" w:hAnsi="仿宋" w:eastAsia="仿宋" w:cs="仿宋"/>
          <w:sz w:val="32"/>
          <w:szCs w:val="32"/>
          <w:highlight w:val="none"/>
        </w:rPr>
        <w:t>万元，</w:t>
      </w:r>
      <w:r>
        <w:rPr>
          <w:rFonts w:ascii="仿宋" w:hAnsi="仿宋" w:eastAsia="仿宋" w:cs="仿宋"/>
          <w:sz w:val="32"/>
          <w:szCs w:val="32"/>
          <w:highlight w:val="none"/>
        </w:rPr>
        <w:t>下降55.44%</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增加5.28</w:t>
      </w:r>
      <w:r>
        <w:rPr>
          <w:rFonts w:hint="eastAsia" w:ascii="仿宋" w:hAnsi="仿宋" w:eastAsia="仿宋" w:cs="仿宋"/>
          <w:sz w:val="32"/>
          <w:szCs w:val="32"/>
          <w:highlight w:val="none"/>
        </w:rPr>
        <w:t>万元，</w:t>
      </w:r>
      <w:r>
        <w:rPr>
          <w:rFonts w:ascii="仿宋" w:hAnsi="仿宋" w:eastAsia="仿宋" w:cs="仿宋"/>
          <w:sz w:val="32"/>
          <w:szCs w:val="32"/>
          <w:highlight w:val="none"/>
        </w:rPr>
        <w:t>增长85.30%</w:t>
      </w:r>
      <w:r>
        <w:rPr>
          <w:rFonts w:hint="eastAsia" w:ascii="仿宋" w:hAnsi="仿宋" w:eastAsia="仿宋" w:cs="仿宋"/>
          <w:sz w:val="32"/>
          <w:szCs w:val="32"/>
          <w:highlight w:val="none"/>
        </w:rPr>
        <w:t>。</w:t>
      </w:r>
      <w:r>
        <w:rPr>
          <w:rFonts w:hint="eastAsia" w:ascii="仿宋_GB2312" w:hAnsi="仿宋_GB2312" w:eastAsia="仿宋_GB2312" w:cs="仿宋_GB2312"/>
          <w:color w:val="auto"/>
          <w:kern w:val="0"/>
          <w:sz w:val="32"/>
          <w:szCs w:val="32"/>
          <w:highlight w:val="none"/>
        </w:rPr>
        <w:t>主要原因是</w:t>
      </w:r>
      <w:r>
        <w:rPr>
          <w:rFonts w:hint="eastAsia" w:ascii="仿宋" w:hAnsi="仿宋" w:eastAsia="仿宋" w:cs="仿宋"/>
          <w:bCs/>
          <w:color w:val="auto"/>
          <w:kern w:val="0"/>
          <w:sz w:val="32"/>
          <w:szCs w:val="32"/>
          <w:lang w:eastAsia="zh-CN"/>
        </w:rPr>
        <w:t>人数增加</w:t>
      </w:r>
      <w:r>
        <w:rPr>
          <w:rFonts w:hint="eastAsia" w:ascii="仿宋_GB2312" w:hAnsi="仿宋_GB2312" w:eastAsia="仿宋_GB2312" w:cs="仿宋_GB2312"/>
          <w:color w:val="auto"/>
          <w:kern w:val="0"/>
          <w:sz w:val="32"/>
          <w:szCs w:val="32"/>
          <w:highlight w:val="none"/>
          <w:lang w:val="en-US"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1</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三等奖</w:t>
      </w:r>
      <w:r>
        <w:rPr>
          <w:rFonts w:hint="eastAsia" w:ascii="仿宋" w:hAnsi="仿宋" w:eastAsia="仿宋" w:cs="仿宋"/>
          <w:color w:val="000000" w:themeColor="text1"/>
          <w:sz w:val="32"/>
          <w:szCs w:val="32"/>
          <w:lang w:val="en-US" w:eastAsia="zh-CN"/>
          <w14:textFill>
            <w14:solidFill>
              <w14:schemeClr w14:val="tx1"/>
            </w14:solidFill>
          </w14:textFill>
        </w:rPr>
        <w:t>1个，</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2016.04</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99.75</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5.00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autoSpaceDE w:val="0"/>
        <w:autoSpaceDN w:val="0"/>
        <w:adjustRightInd w:val="0"/>
        <w:spacing w:line="560" w:lineRule="exact"/>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环江壮族三月三生活经费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2016.04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5.00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年初预算数</w:t>
      </w:r>
      <w:r>
        <w:rPr>
          <w:rFonts w:hint="eastAsia" w:ascii="仿宋" w:hAnsi="仿宋" w:eastAsia="仿宋" w:cs="仿宋"/>
          <w:color w:val="000000" w:themeColor="text1"/>
          <w:sz w:val="32"/>
          <w:szCs w:val="32"/>
          <w:lang w:val="en-US" w:eastAsia="zh-CN"/>
          <w14:textFill>
            <w14:solidFill>
              <w14:schemeClr w14:val="tx1"/>
            </w14:solidFill>
          </w14:textFill>
        </w:rPr>
        <w:t>330.36万元，当年预算数1284.19万元，全年执行数761.35万元，完成执行率59.29%，自评结论：一等。</w:t>
      </w:r>
    </w:p>
    <w:p>
      <w:pPr>
        <w:autoSpaceDE w:val="0"/>
        <w:autoSpaceDN w:val="0"/>
        <w:adjustRightInd w:val="0"/>
        <w:spacing w:line="560" w:lineRule="exact"/>
        <w:ind w:firstLine="640" w:firstLineChars="200"/>
        <w:jc w:val="left"/>
        <w:rPr>
          <w:rFonts w:hint="default" w:ascii="仿宋_GB2312" w:hAnsi="仿宋_GB2312" w:eastAsia="仿宋_GB2312" w:cs="仿宋_GB2312"/>
          <w:color w:val="FF0000"/>
          <w:sz w:val="32"/>
          <w:szCs w:val="32"/>
          <w:highlight w:val="none"/>
          <w:u w:val="single"/>
          <w:lang w:val="en-US"/>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个部门开展整体支出绩效评价，涉及一般公共预算支出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2016.04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5.00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年初预算数</w:t>
      </w:r>
      <w:r>
        <w:rPr>
          <w:rFonts w:hint="eastAsia" w:ascii="仿宋" w:hAnsi="仿宋" w:eastAsia="仿宋" w:cs="仿宋"/>
          <w:color w:val="000000" w:themeColor="text1"/>
          <w:sz w:val="32"/>
          <w:szCs w:val="32"/>
          <w:lang w:val="en-US" w:eastAsia="zh-CN"/>
          <w14:textFill>
            <w14:solidFill>
              <w14:schemeClr w14:val="tx1"/>
            </w14:solidFill>
          </w14:textFill>
        </w:rPr>
        <w:t>1173.35万元，当年预算数2555.84万元，全年执行数1815.12万元，完成执行率71.02%，自评结论：一等。</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4"/>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环江壮族三月三活动经费项目自评得分为100分。</w:t>
      </w:r>
    </w:p>
    <w:p>
      <w:pPr>
        <w:numPr>
          <w:ilvl w:val="0"/>
          <w:numId w:val="4"/>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旅游发展基金项目自评得分为100分。</w:t>
      </w:r>
    </w:p>
    <w:p>
      <w:pPr>
        <w:numPr>
          <w:ilvl w:val="0"/>
          <w:numId w:val="4"/>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群众体育经费项目自评得分为88.6分，活动已经开展，产生经费没能及时支付，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r>
        <w:rPr>
          <w:rFonts w:hint="eastAsia" w:ascii="仿宋" w:hAnsi="仿宋" w:eastAsia="仿宋" w:cs="仿宋"/>
          <w:color w:val="000000" w:themeColor="text1"/>
          <w:sz w:val="32"/>
          <w:szCs w:val="32"/>
          <w:lang w:val="en-US" w:eastAsia="zh-CN"/>
          <w14:textFill>
            <w14:solidFill>
              <w14:schemeClr w14:val="tx1"/>
            </w14:solidFill>
          </w14:textFill>
        </w:rPr>
        <w:t>。</w:t>
      </w:r>
    </w:p>
    <w:p>
      <w:pPr>
        <w:numPr>
          <w:ilvl w:val="0"/>
          <w:numId w:val="4"/>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文化市场管理费项目自评得分为100分。</w:t>
      </w:r>
    </w:p>
    <w:p>
      <w:pPr>
        <w:numPr>
          <w:ilvl w:val="0"/>
          <w:numId w:val="4"/>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文化站免费开放县级配套经费项目自评得分为95.1分，主要问题是优先使用上级专款。</w:t>
      </w:r>
    </w:p>
    <w:p>
      <w:pPr>
        <w:numPr>
          <w:ilvl w:val="0"/>
          <w:numId w:val="0"/>
        </w:numPr>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（6）业务费项目自评得分为98.02分。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办公经费及能及时支付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numPr>
          <w:ilvl w:val="0"/>
          <w:numId w:val="0"/>
        </w:num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党支部组织生活经费项目自评得分为80分。发现的主要问题及原因：活动经费没有支付。下一步改进措施：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（8）分龙节龙舟大赛费项目自评得分为81.71分。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由于疫情，活动龙舟大赛不举行。</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numPr>
          <w:ilvl w:val="0"/>
          <w:numId w:val="0"/>
        </w:num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（9）县级旅游发展经费项目自评得分为98.36分。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项目尾款未支付，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numPr>
          <w:ilvl w:val="0"/>
          <w:numId w:val="0"/>
        </w:num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2022年文化活动经费项目自评得分为93.2分。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活动费用未及时支付，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2022年体育竞赛经费项目自评得分为91.26分。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活动费用未及时支付，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numPr>
          <w:ilvl w:val="0"/>
          <w:numId w:val="0"/>
        </w:num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（12）集中隔离组资金费用项目自评得分为98.79分。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疫情费用部分经费未支付，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龙舟项目训练经费项目自评得分为70分。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活动已经开展，但部分经费未及时支付，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伙食补助费项目自评得分为100分。</w:t>
      </w:r>
      <w:r>
        <w:rPr>
          <w:rFonts w:hint="eastAsia" w:ascii="仿宋" w:hAnsi="仿宋" w:eastAsia="仿宋" w:cs="仿宋"/>
          <w:color w:val="000000" w:themeColor="text1"/>
          <w:sz w:val="32"/>
          <w:szCs w:val="32"/>
          <w:lang w:eastAsia="zh-CN"/>
          <w14:textFill>
            <w14:solidFill>
              <w14:schemeClr w14:val="tx1"/>
            </w14:solidFill>
          </w14:textFill>
        </w:rPr>
        <w:t>　</w:t>
      </w:r>
    </w:p>
    <w:p>
      <w:pPr>
        <w:widowControl w:val="0"/>
        <w:numPr>
          <w:ilvl w:val="0"/>
          <w:numId w:val="0"/>
        </w:num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参加十三届广西（河池）园林园艺博览会费项目自评得分为100分。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活动已经开展，但部分经费未及时支付，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widowControl w:val="0"/>
        <w:numPr>
          <w:ilvl w:val="0"/>
          <w:numId w:val="0"/>
        </w:numPr>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奖励性补贴项目自评得分为100分。</w:t>
      </w:r>
    </w:p>
    <w:p>
      <w:pPr>
        <w:widowControl w:val="0"/>
        <w:numPr>
          <w:ilvl w:val="0"/>
          <w:numId w:val="0"/>
        </w:num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（17）文化人才专项经费项目自评得分为80分。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活动已经开展，但部分经费未及时支付，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widowControl w:val="0"/>
        <w:numPr>
          <w:ilvl w:val="0"/>
          <w:numId w:val="0"/>
        </w:numPr>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（18）重大文旅项目经费自评得分为86.32分。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项目已经竣工，但尾款未及时支付，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r>
        <w:rPr>
          <w:rFonts w:hint="eastAsia" w:ascii="仿宋" w:hAnsi="仿宋" w:eastAsia="仿宋" w:cs="仿宋"/>
          <w:color w:val="000000" w:themeColor="text1"/>
          <w:sz w:val="32"/>
          <w:szCs w:val="32"/>
          <w:lang w:eastAsia="zh-CN"/>
          <w14:textFill>
            <w14:solidFill>
              <w14:schemeClr w14:val="tx1"/>
            </w14:solidFill>
          </w14:textFill>
        </w:rPr>
        <w:t>。</w:t>
      </w: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文化站免费开放经费自评得分为86.65分。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部分办公经费未及时支付，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r>
        <w:rPr>
          <w:rFonts w:hint="eastAsia" w:ascii="仿宋" w:hAnsi="仿宋" w:eastAsia="仿宋" w:cs="仿宋"/>
          <w:color w:val="000000" w:themeColor="text1"/>
          <w:sz w:val="32"/>
          <w:szCs w:val="32"/>
          <w:lang w:eastAsia="zh-CN"/>
          <w14:textFill>
            <w14:solidFill>
              <w14:schemeClr w14:val="tx1"/>
            </w14:solidFill>
          </w14:textFill>
        </w:rPr>
        <w:t>。</w:t>
      </w: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公共体育场馆免费低收费开放补助资金自评得分为94.02分。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部分办公经费未及时支付，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r>
        <w:rPr>
          <w:rFonts w:hint="eastAsia" w:ascii="仿宋" w:hAnsi="仿宋" w:eastAsia="仿宋" w:cs="仿宋"/>
          <w:color w:val="000000" w:themeColor="text1"/>
          <w:sz w:val="32"/>
          <w:szCs w:val="32"/>
          <w:lang w:eastAsia="zh-CN"/>
          <w14:textFill>
            <w14:solidFill>
              <w14:schemeClr w14:val="tx1"/>
            </w14:solidFill>
          </w14:textFill>
        </w:rPr>
        <w:t>。</w:t>
      </w: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公共服务体系建设资金自评得分为81.72分。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村级文化体育活动已经开展，但部分经费未及时支付，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r>
        <w:rPr>
          <w:rFonts w:hint="eastAsia" w:ascii="仿宋" w:hAnsi="仿宋" w:eastAsia="仿宋" w:cs="仿宋"/>
          <w:color w:val="000000" w:themeColor="text1"/>
          <w:sz w:val="32"/>
          <w:szCs w:val="32"/>
          <w:lang w:eastAsia="zh-CN"/>
          <w14:textFill>
            <w14:solidFill>
              <w14:schemeClr w14:val="tx1"/>
            </w14:solidFill>
          </w14:textFill>
        </w:rPr>
        <w:t>。</w:t>
      </w: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村级乡镇台站运行电费自评得分为82.54分。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村级文化体育活动已经开展，但部分经费未及时支付，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r>
        <w:rPr>
          <w:rFonts w:hint="eastAsia" w:ascii="仿宋" w:hAnsi="仿宋" w:eastAsia="仿宋" w:cs="仿宋"/>
          <w:color w:val="000000" w:themeColor="text1"/>
          <w:sz w:val="32"/>
          <w:szCs w:val="32"/>
          <w:lang w:eastAsia="zh-CN"/>
          <w14:textFill>
            <w14:solidFill>
              <w14:schemeClr w14:val="tx1"/>
            </w14:solidFill>
          </w14:textFill>
        </w:rPr>
        <w:t>。</w:t>
      </w: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全民健身补助经费自评得分为80分。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项目已经竣工，但项目经费未及时支付，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r>
        <w:rPr>
          <w:rFonts w:hint="eastAsia" w:ascii="仿宋" w:hAnsi="仿宋" w:eastAsia="仿宋" w:cs="仿宋"/>
          <w:color w:val="000000" w:themeColor="text1"/>
          <w:sz w:val="32"/>
          <w:szCs w:val="32"/>
          <w:lang w:eastAsia="zh-CN"/>
          <w14:textFill>
            <w14:solidFill>
              <w14:schemeClr w14:val="tx1"/>
            </w14:solidFill>
          </w14:textFill>
        </w:rPr>
        <w:t>。</w:t>
      </w:r>
    </w:p>
    <w:p>
      <w:pPr>
        <w:widowControl w:val="0"/>
        <w:numPr>
          <w:ilvl w:val="0"/>
          <w:numId w:val="0"/>
        </w:numPr>
        <w:jc w:val="left"/>
        <w:rPr>
          <w:rFonts w:hint="eastAsia" w:ascii="黑体" w:hAnsi="黑体" w:eastAsia="黑体" w:cs="黑体"/>
          <w:sz w:val="32"/>
          <w:szCs w:val="32"/>
          <w:highlight w:val="none"/>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全民健身中心经费自评得分为81.34分。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项目已经竣工，但部分项目经费未及时支付，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r>
        <w:rPr>
          <w:rFonts w:hint="eastAsia" w:ascii="仿宋" w:hAnsi="仿宋" w:eastAsia="仿宋" w:cs="仿宋"/>
          <w:color w:val="000000" w:themeColor="text1"/>
          <w:sz w:val="32"/>
          <w:szCs w:val="32"/>
          <w:lang w:eastAsia="zh-CN"/>
          <w14:textFill>
            <w14:solidFill>
              <w14:schemeClr w14:val="tx1"/>
            </w14:solidFill>
          </w14:textFill>
        </w:rPr>
        <w:t>。</w:t>
      </w: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default" w:ascii="Times New Roman" w:hAnsi="Times New Roman" w:eastAsia="仿宋_GB2312" w:cs="Times New Roman"/>
          <w:kern w:val="0"/>
          <w:sz w:val="32"/>
          <w:szCs w:val="32"/>
          <w:lang w:val="en-US" w:eastAsia="zh-CN"/>
        </w:rPr>
      </w:pPr>
      <w:bookmarkStart w:id="5" w:name="_GoBack"/>
      <w:bookmarkEnd w:id="5"/>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1F5415F8"/>
    <w:multiLevelType w:val="singleLevel"/>
    <w:tmpl w:val="1F5415F8"/>
    <w:lvl w:ilvl="0" w:tentative="0">
      <w:start w:val="1"/>
      <w:numFmt w:val="decimal"/>
      <w:lvlText w:val="(%1)"/>
      <w:lvlJc w:val="left"/>
      <w:pPr>
        <w:tabs>
          <w:tab w:val="left" w:pos="312"/>
        </w:tabs>
      </w:pPr>
    </w:lvl>
  </w:abstractNum>
  <w:abstractNum w:abstractNumId="3">
    <w:nsid w:val="28E542C1"/>
    <w:multiLevelType w:val="singleLevel"/>
    <w:tmpl w:val="28E542C1"/>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1C7E3C"/>
    <w:rsid w:val="01234E98"/>
    <w:rsid w:val="015F1951"/>
    <w:rsid w:val="020C171D"/>
    <w:rsid w:val="0216715F"/>
    <w:rsid w:val="02E0291A"/>
    <w:rsid w:val="04C91A28"/>
    <w:rsid w:val="04E54546"/>
    <w:rsid w:val="05992762"/>
    <w:rsid w:val="07A402A0"/>
    <w:rsid w:val="07B0770E"/>
    <w:rsid w:val="0942143F"/>
    <w:rsid w:val="0B306D4A"/>
    <w:rsid w:val="0CB42FE4"/>
    <w:rsid w:val="0D100297"/>
    <w:rsid w:val="0D202B45"/>
    <w:rsid w:val="0DA26F5D"/>
    <w:rsid w:val="0F8D4C87"/>
    <w:rsid w:val="10505FAA"/>
    <w:rsid w:val="105F7E7E"/>
    <w:rsid w:val="11E56B5B"/>
    <w:rsid w:val="125C77AB"/>
    <w:rsid w:val="14CB726E"/>
    <w:rsid w:val="17373D6B"/>
    <w:rsid w:val="178A3253"/>
    <w:rsid w:val="17E92249"/>
    <w:rsid w:val="18D304F1"/>
    <w:rsid w:val="18DD6492"/>
    <w:rsid w:val="19F32577"/>
    <w:rsid w:val="19F45B80"/>
    <w:rsid w:val="1A381A67"/>
    <w:rsid w:val="1B0C078D"/>
    <w:rsid w:val="1B2B31E2"/>
    <w:rsid w:val="1B4C295A"/>
    <w:rsid w:val="1B973C63"/>
    <w:rsid w:val="1BA1001E"/>
    <w:rsid w:val="1D317259"/>
    <w:rsid w:val="1E1C11EE"/>
    <w:rsid w:val="1E664F5B"/>
    <w:rsid w:val="1EB34BE1"/>
    <w:rsid w:val="215E639F"/>
    <w:rsid w:val="21EC3183"/>
    <w:rsid w:val="225E72CD"/>
    <w:rsid w:val="23D70CD9"/>
    <w:rsid w:val="246E2F77"/>
    <w:rsid w:val="254B4E2B"/>
    <w:rsid w:val="28043112"/>
    <w:rsid w:val="283D7C94"/>
    <w:rsid w:val="29480E03"/>
    <w:rsid w:val="2983634D"/>
    <w:rsid w:val="2A9A1CF1"/>
    <w:rsid w:val="2BB02055"/>
    <w:rsid w:val="2C575A56"/>
    <w:rsid w:val="2E446C9B"/>
    <w:rsid w:val="2F257714"/>
    <w:rsid w:val="2F2E62F8"/>
    <w:rsid w:val="2F3275E5"/>
    <w:rsid w:val="2FFB0B8D"/>
    <w:rsid w:val="30AA08EF"/>
    <w:rsid w:val="30D23D1C"/>
    <w:rsid w:val="31221CF5"/>
    <w:rsid w:val="31400178"/>
    <w:rsid w:val="321E3342"/>
    <w:rsid w:val="327759C8"/>
    <w:rsid w:val="33185FE3"/>
    <w:rsid w:val="34CB56A2"/>
    <w:rsid w:val="34EE2E36"/>
    <w:rsid w:val="36777241"/>
    <w:rsid w:val="371E78D5"/>
    <w:rsid w:val="378D3F39"/>
    <w:rsid w:val="38A951DB"/>
    <w:rsid w:val="38B31605"/>
    <w:rsid w:val="39003F4F"/>
    <w:rsid w:val="390B1DB1"/>
    <w:rsid w:val="39723BAB"/>
    <w:rsid w:val="3C07002B"/>
    <w:rsid w:val="3D0D152A"/>
    <w:rsid w:val="3DF62756"/>
    <w:rsid w:val="3F04526F"/>
    <w:rsid w:val="3F1B7587"/>
    <w:rsid w:val="41E57B4F"/>
    <w:rsid w:val="432F26F6"/>
    <w:rsid w:val="43880F63"/>
    <w:rsid w:val="441C5A6F"/>
    <w:rsid w:val="44C44FCC"/>
    <w:rsid w:val="44CC7369"/>
    <w:rsid w:val="457F5108"/>
    <w:rsid w:val="46951B6B"/>
    <w:rsid w:val="49630110"/>
    <w:rsid w:val="49A34401"/>
    <w:rsid w:val="4A3E30AB"/>
    <w:rsid w:val="4AC14DAC"/>
    <w:rsid w:val="4AF85EBD"/>
    <w:rsid w:val="4D154C85"/>
    <w:rsid w:val="4D8E364A"/>
    <w:rsid w:val="4EB35ECE"/>
    <w:rsid w:val="508F4E24"/>
    <w:rsid w:val="51461E90"/>
    <w:rsid w:val="51463753"/>
    <w:rsid w:val="515862D8"/>
    <w:rsid w:val="519F1EFE"/>
    <w:rsid w:val="52553A93"/>
    <w:rsid w:val="53521F8B"/>
    <w:rsid w:val="53E22F47"/>
    <w:rsid w:val="54522FF8"/>
    <w:rsid w:val="55450629"/>
    <w:rsid w:val="56692963"/>
    <w:rsid w:val="568B0F48"/>
    <w:rsid w:val="5786217B"/>
    <w:rsid w:val="59337A15"/>
    <w:rsid w:val="59810274"/>
    <w:rsid w:val="5CA96A00"/>
    <w:rsid w:val="5CF730BC"/>
    <w:rsid w:val="5E5F0DCE"/>
    <w:rsid w:val="5EA33C5F"/>
    <w:rsid w:val="5FA40A7B"/>
    <w:rsid w:val="5FC65B28"/>
    <w:rsid w:val="5FD56D29"/>
    <w:rsid w:val="5FEC7F3F"/>
    <w:rsid w:val="606D634B"/>
    <w:rsid w:val="6086588B"/>
    <w:rsid w:val="60F74BC3"/>
    <w:rsid w:val="617D3BF8"/>
    <w:rsid w:val="61841F6A"/>
    <w:rsid w:val="61EE717A"/>
    <w:rsid w:val="623007A9"/>
    <w:rsid w:val="624B69FD"/>
    <w:rsid w:val="62DC126F"/>
    <w:rsid w:val="633B664E"/>
    <w:rsid w:val="637D7558"/>
    <w:rsid w:val="644F19AC"/>
    <w:rsid w:val="65AA4920"/>
    <w:rsid w:val="65E31D0B"/>
    <w:rsid w:val="66061B48"/>
    <w:rsid w:val="67694F1E"/>
    <w:rsid w:val="68CB5354"/>
    <w:rsid w:val="69597934"/>
    <w:rsid w:val="6ACA507E"/>
    <w:rsid w:val="6B964DDC"/>
    <w:rsid w:val="6C6D0FF4"/>
    <w:rsid w:val="6C783074"/>
    <w:rsid w:val="6D9E65C6"/>
    <w:rsid w:val="6DA81947"/>
    <w:rsid w:val="6E510364"/>
    <w:rsid w:val="6EB66DE2"/>
    <w:rsid w:val="6ED3075F"/>
    <w:rsid w:val="6F2A2D4B"/>
    <w:rsid w:val="6F8A0C1E"/>
    <w:rsid w:val="703F45D4"/>
    <w:rsid w:val="715D6546"/>
    <w:rsid w:val="71BE069E"/>
    <w:rsid w:val="73953409"/>
    <w:rsid w:val="73E069A3"/>
    <w:rsid w:val="740D2B47"/>
    <w:rsid w:val="74861FFA"/>
    <w:rsid w:val="78104AA8"/>
    <w:rsid w:val="78E257C5"/>
    <w:rsid w:val="794B35BE"/>
    <w:rsid w:val="7AE222FF"/>
    <w:rsid w:val="7B0A3A31"/>
    <w:rsid w:val="7B3360ED"/>
    <w:rsid w:val="7BDF037E"/>
    <w:rsid w:val="7BF50948"/>
    <w:rsid w:val="7C8B22F9"/>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chart" Target="charts/chart15.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9.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1461.72</c:v>
                </c:pt>
                <c:pt idx="1">
                  <c:v>34.88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92.74</c:v>
                </c:pt>
                <c:pt idx="1">
                  <c:v>51.59</c:v>
                </c:pt>
                <c:pt idx="2">
                  <c:v>5.47</c:v>
                </c:pt>
                <c:pt idx="3">
                  <c:v>4.4</c:v>
                </c:pt>
                <c:pt idx="4">
                  <c:v>33.99</c:v>
                </c:pt>
                <c:pt idx="5">
                  <c:v>31.2</c:v>
                </c:pt>
                <c:pt idx="6">
                  <c:v>0</c:v>
                </c:pt>
                <c:pt idx="7">
                  <c:v>14.93</c:v>
                </c:pt>
                <c:pt idx="8">
                  <c:v>0</c:v>
                </c:pt>
                <c:pt idx="9">
                  <c:v>0.33</c:v>
                </c:pt>
                <c:pt idx="10">
                  <c:v>23.86</c:v>
                </c:pt>
                <c:pt idx="11">
                  <c:v>0</c:v>
                </c:pt>
                <c:pt idx="12">
                  <c:v>7.07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0.09</c:v>
                </c:pt>
                <c:pt idx="1">
                  <c:v>1.96</c:v>
                </c:pt>
                <c:pt idx="2">
                  <c:v>0</c:v>
                </c:pt>
                <c:pt idx="3">
                  <c:v>0</c:v>
                </c:pt>
                <c:pt idx="4">
                  <c:v>0.16</c:v>
                </c:pt>
                <c:pt idx="5">
                  <c:v>0</c:v>
                </c:pt>
                <c:pt idx="6">
                  <c:v>4.52</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4.17</c:v>
                </c:pt>
                <c:pt idx="22">
                  <c:v>0</c:v>
                </c:pt>
                <c:pt idx="23">
                  <c:v>0</c:v>
                </c:pt>
                <c:pt idx="24">
                  <c:v>0.5</c:v>
                </c:pt>
                <c:pt idx="25">
                  <c:v>0</c:v>
                </c:pt>
                <c:pt idx="26">
                  <c:v>0.06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12.89</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Sheet1!$A$2:$A$8</c:f>
              <c:strCache>
                <c:ptCount val="7"/>
                <c:pt idx="0">
                  <c:v>一般公共服务支出</c:v>
                </c:pt>
                <c:pt idx="1">
                  <c:v>文化旅游体育与传媒支出</c:v>
                </c:pt>
                <c:pt idx="2">
                  <c:v>社会保障和就业支出</c:v>
                </c:pt>
                <c:pt idx="3">
                  <c:v>卫生健康支出</c:v>
                </c:pt>
                <c:pt idx="4">
                  <c:v>农林水支出</c:v>
                </c:pt>
                <c:pt idx="5">
                  <c:v>住房保障支出</c:v>
                </c:pt>
                <c:pt idx="6">
                  <c:v>其他支出</c:v>
                </c:pt>
              </c:strCache>
            </c:strRef>
          </c:cat>
          <c:val>
            <c:numRef>
              <c:f>Sheet1!$B$2:$B$8</c:f>
              <c:numCache>
                <c:formatCode>General</c:formatCode>
                <c:ptCount val="7"/>
                <c:pt idx="0">
                  <c:v>14.83</c:v>
                </c:pt>
                <c:pt idx="1">
                  <c:v>1441.09</c:v>
                </c:pt>
                <c:pt idx="2">
                  <c:v>31.85</c:v>
                </c:pt>
                <c:pt idx="3">
                  <c:v>20</c:v>
                </c:pt>
                <c:pt idx="4">
                  <c:v>0</c:v>
                </c:pt>
                <c:pt idx="5">
                  <c:v>24.69</c:v>
                </c:pt>
                <c:pt idx="6">
                  <c:v>106.5</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Sheet1!$A$2:$A$8</c:f>
              <c:strCache>
                <c:ptCount val="7"/>
                <c:pt idx="0">
                  <c:v>一般公共服务支出</c:v>
                </c:pt>
                <c:pt idx="1">
                  <c:v>文化旅游体育与传媒支出</c:v>
                </c:pt>
                <c:pt idx="2">
                  <c:v>社会保障和就业支出</c:v>
                </c:pt>
                <c:pt idx="3">
                  <c:v>卫生健康支出</c:v>
                </c:pt>
                <c:pt idx="4">
                  <c:v>农林水支出</c:v>
                </c:pt>
                <c:pt idx="5">
                  <c:v>住房保障支出</c:v>
                </c:pt>
                <c:pt idx="6">
                  <c:v>其他支出</c:v>
                </c:pt>
              </c:strCache>
            </c:strRef>
          </c:cat>
          <c:val>
            <c:numRef>
              <c:f>Sheet1!$C$2:$C$8</c:f>
              <c:numCache>
                <c:formatCode>General</c:formatCode>
                <c:ptCount val="7"/>
                <c:pt idx="0">
                  <c:v>4.17</c:v>
                </c:pt>
                <c:pt idx="1">
                  <c:v>1121.99</c:v>
                </c:pt>
                <c:pt idx="2">
                  <c:v>31.2</c:v>
                </c:pt>
                <c:pt idx="3">
                  <c:v>225.99</c:v>
                </c:pt>
                <c:pt idx="4">
                  <c:v>10</c:v>
                </c:pt>
                <c:pt idx="5">
                  <c:v>23.86</c:v>
                </c:pt>
                <c:pt idx="6">
                  <c:v>79.39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4.17</c:v>
                </c:pt>
                <c:pt idx="1">
                  <c:v>4.17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文化旅游体育与传媒支出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Sheet1!$A$2:$A$15</c:f>
              <c:strCache>
                <c:ptCount val="14"/>
                <c:pt idx="0">
                  <c:v>2070101</c:v>
                </c:pt>
                <c:pt idx="1">
                  <c:v>2070102</c:v>
                </c:pt>
                <c:pt idx="2">
                  <c:v>2070108</c:v>
                </c:pt>
                <c:pt idx="3">
                  <c:v>2070109</c:v>
                </c:pt>
                <c:pt idx="4">
                  <c:v>2070112</c:v>
                </c:pt>
                <c:pt idx="5">
                  <c:v>2070199</c:v>
                </c:pt>
                <c:pt idx="6">
                  <c:v>2070305</c:v>
                </c:pt>
                <c:pt idx="7">
                  <c:v>2070307</c:v>
                </c:pt>
                <c:pt idx="8">
                  <c:v>2070308</c:v>
                </c:pt>
                <c:pt idx="9">
                  <c:v>2070309</c:v>
                </c:pt>
                <c:pt idx="10">
                  <c:v>2070808</c:v>
                </c:pt>
                <c:pt idx="11">
                  <c:v>2070899</c:v>
                </c:pt>
                <c:pt idx="12">
                  <c:v>2079999</c:v>
                </c:pt>
                <c:pt idx="13">
                  <c:v>207x</c:v>
                </c:pt>
              </c:strCache>
            </c:strRef>
          </c:cat>
          <c:val>
            <c:numRef>
              <c:f>Sheet1!$B$2:$B$15</c:f>
              <c:numCache>
                <c:formatCode>General</c:formatCode>
                <c:ptCount val="14"/>
                <c:pt idx="0">
                  <c:v>255.51</c:v>
                </c:pt>
                <c:pt idx="1">
                  <c:v>282.58</c:v>
                </c:pt>
                <c:pt idx="2">
                  <c:v>6.6</c:v>
                </c:pt>
                <c:pt idx="3">
                  <c:v>30</c:v>
                </c:pt>
                <c:pt idx="4">
                  <c:v>2.5</c:v>
                </c:pt>
                <c:pt idx="5">
                  <c:v>303.44</c:v>
                </c:pt>
                <c:pt idx="6">
                  <c:v>17.63</c:v>
                </c:pt>
                <c:pt idx="7">
                  <c:v>172.5</c:v>
                </c:pt>
                <c:pt idx="8">
                  <c:v>8.59</c:v>
                </c:pt>
                <c:pt idx="9">
                  <c:v>4.25</c:v>
                </c:pt>
                <c:pt idx="10">
                  <c:v>13.5</c:v>
                </c:pt>
                <c:pt idx="11">
                  <c:v>3.9</c:v>
                </c:pt>
                <c:pt idx="12">
                  <c:v>21</c:v>
                </c:pt>
                <c:pt idx="13">
                  <c:v>1121.99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31.2</c:v>
                </c:pt>
                <c:pt idx="1">
                  <c:v>31.2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卫生健康支出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2100410</c:v>
                </c:pt>
                <c:pt idx="1">
                  <c:v>210x</c:v>
                </c:pt>
              </c:strCache>
            </c:strRef>
          </c:cat>
          <c:val>
            <c:numRef>
              <c:f>Sheet1!$B$2:$B$3</c:f>
              <c:numCache>
                <c:formatCode>General</c:formatCode>
                <c:ptCount val="2"/>
                <c:pt idx="0">
                  <c:v>225.99</c:v>
                </c:pt>
                <c:pt idx="1">
                  <c:v>225.99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2130504</c:v>
                </c:pt>
                <c:pt idx="1">
                  <c:v>213x</c:v>
                </c:pt>
              </c:strCache>
            </c:strRef>
          </c:cat>
          <c:val>
            <c:numRef>
              <c:f>Sheet1!$B$2:$B$3</c:f>
              <c:numCache>
                <c:formatCode>General</c:formatCode>
                <c:ptCount val="2"/>
                <c:pt idx="0">
                  <c:v>10</c:v>
                </c:pt>
                <c:pt idx="1">
                  <c:v>10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23.86</c:v>
                </c:pt>
                <c:pt idx="1">
                  <c:v>23.86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44.51</c:v>
                </c:pt>
                <c:pt idx="1">
                  <c:v>44.51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145</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2023-11-27T09:54:38Z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