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环江毛南族自治县卫生计生监督所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卫生监督所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卫生监督所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卫生监督所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卫生监督所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wordWrap w:val="0"/>
        <w:autoSpaceDN w:val="0"/>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根据卫生部《关于卫生监督体系建设的若干规定》规定，各级卫生监督机构在同级卫生行政部门]领导下承担卫生监督工作任务，主要职责为：</w:t>
      </w:r>
    </w:p>
    <w:p>
      <w:pPr>
        <w:widowControl/>
        <w:numPr>
          <w:ilvl w:val="0"/>
          <w:numId w:val="1"/>
        </w:numPr>
        <w:wordWrap w:val="0"/>
        <w:autoSpaceDN w:val="0"/>
        <w:spacing w:line="580" w:lineRule="exact"/>
        <w:ind w:firstLine="720" w:firstLineChars="225"/>
        <w:jc w:val="left"/>
        <w:rPr>
          <w:rFonts w:hint="eastAsia" w:ascii="仿宋" w:hAnsi="仿宋" w:eastAsia="仿宋" w:cs="仿宋"/>
          <w:sz w:val="32"/>
          <w:szCs w:val="32"/>
        </w:rPr>
      </w:pPr>
      <w:r>
        <w:rPr>
          <w:rFonts w:hint="eastAsia" w:ascii="仿宋" w:hAnsi="仿宋" w:eastAsia="仿宋" w:cs="仿宋"/>
          <w:sz w:val="32"/>
          <w:szCs w:val="32"/>
        </w:rPr>
        <w:t>生行政许可</w:t>
      </w:r>
      <w:r>
        <w:rPr>
          <w:rFonts w:hint="eastAsia" w:ascii="仿宋" w:hAnsi="仿宋" w:eastAsia="仿宋" w:cs="仿宋"/>
          <w:sz w:val="32"/>
          <w:szCs w:val="32"/>
        </w:rPr>
        <w:br w:type="textWrapping"/>
      </w:r>
      <w:r>
        <w:rPr>
          <w:rFonts w:hint="eastAsia" w:ascii="仿宋" w:hAnsi="仿宋" w:eastAsia="仿宋" w:cs="仿宋"/>
          <w:sz w:val="32"/>
          <w:szCs w:val="32"/>
        </w:rPr>
        <w:t>承办餐饮业及集体食堂的卫生条件的卫生行政许可：承办公共场所卫生条件的卫生行政许可：承办供水单位卫生条件的卫生行政许可：卫生行政部门交办的其他行政许可事项。</w:t>
      </w:r>
      <w:r>
        <w:rPr>
          <w:rFonts w:hint="eastAsia" w:ascii="仿宋" w:hAnsi="仿宋" w:eastAsia="仿宋" w:cs="仿宋"/>
          <w:sz w:val="32"/>
          <w:szCs w:val="32"/>
        </w:rPr>
        <w:br w:type="textWrapping"/>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）公共卫生监督</w:t>
      </w:r>
      <w:r>
        <w:rPr>
          <w:rFonts w:hint="eastAsia" w:ascii="仿宋" w:hAnsi="仿宋" w:eastAsia="仿宋" w:cs="仿宋"/>
          <w:sz w:val="32"/>
          <w:szCs w:val="32"/>
        </w:rPr>
        <w:br w:type="textWrapping"/>
      </w:r>
      <w:r>
        <w:rPr>
          <w:rFonts w:hint="eastAsia" w:ascii="仿宋" w:hAnsi="仿宋" w:eastAsia="仿宋" w:cs="仿宋"/>
          <w:sz w:val="32"/>
          <w:szCs w:val="32"/>
        </w:rPr>
        <w:t>对餐饮业及集体食堂的卫生条件、卫生防护设施、生产经营活动及直接从事食品生产经营活动人员的健康管理进行卫生监督检査,査处违法行为；对化妆品、消毒产品、生活饮用水、涉及饮用水卫生安全产品及其他健康相关产品的卫生及其生产经营活动进行卫生监督检查，査处违法行为；对公共场所的卫生条件及其从业人员的健康管理进行卫生监督检查，查处违法行为：对用人单位开展职业健康监护情况进行卫生监督检查，査处违法行为：对建设项目执行职业病危害评价制度情况进行卫生监督检，査处违法行为。</w:t>
      </w:r>
    </w:p>
    <w:p>
      <w:pPr>
        <w:widowControl/>
        <w:numPr>
          <w:ilvl w:val="0"/>
          <w:numId w:val="0"/>
        </w:numPr>
        <w:wordWrap w:val="0"/>
        <w:autoSpaceDN w:val="0"/>
        <w:spacing w:line="58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（三）医疗卫生监督</w:t>
      </w:r>
    </w:p>
    <w:p>
      <w:pPr>
        <w:widowControl/>
        <w:numPr>
          <w:ilvl w:val="0"/>
          <w:numId w:val="0"/>
        </w:numPr>
        <w:wordWrap w:val="0"/>
        <w:autoSpaceDN w:val="0"/>
        <w:spacing w:line="58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对医疗机构的执行资格、职业范围及其医务人员的职业资格、执业注册进行监督检查，规范医疗服务行为，打击非法行医;对医疗机构的传染病疫情报告、疫情控制措施、消毒隔离制度执行情况和医疗废物处置情况进行监督检查,查处违法行为;对采供血机构的采供血活动、传染病疫情报告和医疗废物处置情况进行监督检查</w:t>
      </w:r>
      <w:r>
        <w:rPr>
          <w:rFonts w:hint="eastAsia" w:ascii="仿宋" w:hAnsi="仿宋" w:eastAsia="仿宋" w:cs="仿宋"/>
          <w:sz w:val="32"/>
          <w:szCs w:val="32"/>
          <w:lang w:eastAsia="zh-CN"/>
        </w:rPr>
        <w:t>。</w:t>
      </w:r>
      <w:r>
        <w:rPr>
          <w:rFonts w:hint="eastAsia" w:ascii="仿宋" w:hAnsi="仿宋" w:eastAsia="仿宋" w:cs="仿宋"/>
          <w:sz w:val="32"/>
          <w:szCs w:val="32"/>
        </w:rPr>
        <w:t>查处违法行为。负责派出机构的管理;负责辖区内卫生监督信息的收集、核实、上报;负责受理对违法行为的投诉、举报;开展卫生法律法规宣传教育;承办主管局及上级业务机关指定或交办的.卫对违法行为的投诉、举报。对违法行为的投诉、举报;开展卫生法律法规宣传教育;承办主管局及上级业务机关指定或交办的卫生监督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30"/>
        <w:jc w:val="left"/>
        <w:rPr>
          <w:rFonts w:hint="default" w:ascii="黑体" w:hAnsi="黑体" w:eastAsia="仿宋" w:cs="黑体"/>
          <w:sz w:val="32"/>
          <w:szCs w:val="32"/>
          <w:lang w:val="en-US" w:eastAsia="zh-CN"/>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卫生监督所</w:t>
      </w:r>
      <w:r>
        <w:rPr>
          <w:rFonts w:hint="eastAsia" w:ascii="仿宋" w:hAnsi="仿宋" w:eastAsia="仿宋"/>
          <w:sz w:val="32"/>
          <w:szCs w:val="32"/>
        </w:rPr>
        <w:t>部门</w:t>
      </w:r>
      <w:r>
        <w:rPr>
          <w:rFonts w:hint="eastAsia" w:ascii="仿宋" w:hAnsi="仿宋" w:eastAsia="仿宋"/>
          <w:sz w:val="32"/>
          <w:szCs w:val="32"/>
          <w:lang w:val="en-US" w:eastAsia="zh-CN"/>
        </w:rPr>
        <w:t>决算</w:t>
      </w:r>
      <w:r>
        <w:rPr>
          <w:rFonts w:hint="eastAsia" w:ascii="仿宋" w:hAnsi="仿宋" w:eastAsia="仿宋"/>
          <w:sz w:val="32"/>
          <w:szCs w:val="32"/>
        </w:rPr>
        <w:t>共</w:t>
      </w:r>
      <w:r>
        <w:rPr>
          <w:rFonts w:hint="eastAsia" w:ascii="仿宋" w:hAnsi="仿宋" w:eastAsia="仿宋"/>
          <w:sz w:val="32"/>
          <w:szCs w:val="32"/>
          <w:lang w:val="en-US" w:eastAsia="zh-CN"/>
        </w:rPr>
        <w:t>1</w:t>
      </w:r>
      <w:r>
        <w:rPr>
          <w:rFonts w:hint="eastAsia" w:ascii="仿宋" w:hAnsi="仿宋" w:eastAsia="仿宋"/>
          <w:sz w:val="32"/>
          <w:szCs w:val="32"/>
        </w:rPr>
        <w:t>个单位。</w:t>
      </w:r>
      <w:r>
        <w:rPr>
          <w:rFonts w:hint="eastAsia" w:ascii="仿宋" w:hAnsi="仿宋" w:eastAsia="仿宋"/>
          <w:sz w:val="32"/>
          <w:szCs w:val="32"/>
          <w:lang w:val="en-US" w:eastAsia="zh-CN"/>
        </w:rPr>
        <w:t>卫生监督所为参公单位</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监督所</w:t>
      </w:r>
      <w:r>
        <w:rPr>
          <w:rFonts w:hint="eastAsia" w:ascii="黑体" w:hAnsi="黑体" w:eastAsia="黑体" w:cs="黑体"/>
          <w:sz w:val="32"/>
          <w:szCs w:val="32"/>
          <w:highlight w:val="none"/>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145.45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109.22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8.25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145.53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145.53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145.53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145.53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145.45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0.08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0.08</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145.47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113.17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32.30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公共卫生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95.02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76.92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2100409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10.99</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109.20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17.01</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145.45</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145.45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113.15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32.30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公共卫生</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76.90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110.75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环江毛南族自治县卫生计生监督所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0.25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监督所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145.45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增加10.25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上涨7.58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145.45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145.45</w:t>
      </w:r>
      <w:r>
        <w:rPr>
          <w:rFonts w:hint="eastAsia" w:ascii="仿宋" w:hAnsi="仿宋" w:eastAsia="仿宋" w:cs="仿宋"/>
          <w:kern w:val="2"/>
          <w:sz w:val="32"/>
          <w:szCs w:val="32"/>
          <w:highlight w:val="none"/>
          <w:lang w:val="en-US" w:eastAsia="zh-CN" w:bidi="ar"/>
        </w:rPr>
        <w:t>万元，本级财政当年拨付的资金。较2021年度决算数</w:t>
      </w:r>
      <w:r>
        <w:rPr>
          <w:rFonts w:hint="eastAsia" w:ascii="仿宋" w:hAnsi="仿宋" w:eastAsia="仿宋" w:cs="仿宋"/>
          <w:sz w:val="32"/>
          <w:u w:color="auto"/>
          <w:lang w:val="en-US" w:eastAsia="zh-CN"/>
        </w:rPr>
        <w:t>增加10.21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增长7.55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疫情投入增加，卫生基建项目财政拨款增加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0.08</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万元,为预算单位在“财政拨款收入”“事业收入”“经营收入”之外取得的收入。较2021年度决算数增加</w:t>
      </w:r>
      <w:r>
        <w:rPr>
          <w:rFonts w:hint="eastAsia" w:ascii="仿宋" w:hAnsi="仿宋" w:eastAsia="仿宋" w:cs="仿宋"/>
          <w:sz w:val="32"/>
          <w:u w:color="auto"/>
          <w:lang w:val="en-US" w:eastAsia="zh-CN"/>
        </w:rPr>
        <w:t>0.04</w:t>
      </w:r>
      <w:r>
        <w:rPr>
          <w:rFonts w:hint="eastAsia" w:ascii="仿宋" w:hAnsi="仿宋" w:eastAsia="仿宋" w:cs="仿宋"/>
          <w:kern w:val="2"/>
          <w:sz w:val="32"/>
          <w:szCs w:val="32"/>
          <w:highlight w:val="none"/>
          <w:lang w:val="en-US" w:eastAsia="zh-CN" w:bidi="ar"/>
        </w:rPr>
        <w:t>万元，上涨50%。</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145.47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145.47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上涨1.7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u w:color="auto"/>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单位养老等其他社保支出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 xml:space="preserve">无变化。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u w:color="auto"/>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109.22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14.26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上涨</w:t>
      </w:r>
      <w:r>
        <w:rPr>
          <w:rFonts w:hint="eastAsia" w:ascii="仿宋" w:hAnsi="仿宋" w:eastAsia="仿宋" w:cs="仿宋"/>
          <w:sz w:val="32"/>
          <w:szCs w:val="32"/>
          <w:highlight w:val="none"/>
          <w:lang w:val="en-US" w:eastAsia="zh-CN" w:bidi="ar"/>
        </w:rPr>
        <w:t>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8.25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住房改革支出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上涨</w:t>
      </w:r>
      <w:r>
        <w:rPr>
          <w:rFonts w:hint="eastAsia" w:ascii="仿宋" w:hAnsi="仿宋" w:eastAsia="仿宋" w:cs="仿宋"/>
          <w:sz w:val="32"/>
          <w:szCs w:val="32"/>
          <w:highlight w:val="none"/>
          <w:lang w:val="en-US" w:eastAsia="zh-CN" w:bidi="ar"/>
        </w:rPr>
        <w:t>0.12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4.</w:t>
      </w:r>
      <w:r>
        <w:rPr>
          <w:rFonts w:hint="eastAsia" w:ascii="仿宋_GB2312" w:eastAsia="仿宋_GB2312" w:cs="仿宋_GB2312"/>
          <w:kern w:val="0"/>
          <w:sz w:val="32"/>
          <w:szCs w:val="32"/>
          <w:lang w:val="en-US" w:eastAsia="zh-CN"/>
        </w:rPr>
        <w:t>其他支出17.01万元，</w:t>
      </w:r>
      <w:r>
        <w:rPr>
          <w:rFonts w:hint="eastAsia" w:ascii="仿宋_GB2312" w:eastAsia="仿宋_GB2312" w:cs="仿宋_GB2312"/>
          <w:kern w:val="0"/>
          <w:sz w:val="32"/>
          <w:szCs w:val="32"/>
        </w:rPr>
        <w:t>主要是政府绩效考评奖支出</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sz w:val="32"/>
          <w:szCs w:val="32"/>
          <w:highlight w:val="none"/>
          <w:lang w:val="en-US" w:eastAsia="zh-CN"/>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both"/>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卫生监督所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145.45</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增加2.41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w:t>
      </w:r>
      <w:r>
        <w:rPr>
          <w:rFonts w:hint="eastAsia" w:ascii="仿宋" w:hAnsi="仿宋" w:eastAsia="仿宋" w:cs="仿宋"/>
          <w:sz w:val="32"/>
          <w:u w:color="auto"/>
          <w:lang w:val="en-US" w:eastAsia="zh-CN"/>
        </w:rPr>
        <w:t>1.7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113.15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32.30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卫生监督所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99.59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145.45</w:t>
      </w:r>
      <w:r>
        <w:rPr>
          <w:rFonts w:hint="eastAsia" w:ascii="仿宋" w:hAnsi="仿宋" w:eastAsia="仿宋" w:cs="仿宋"/>
          <w:sz w:val="32"/>
          <w:szCs w:val="32"/>
          <w:highlight w:val="none"/>
        </w:rPr>
        <w:t>万元，完</w:t>
      </w:r>
      <w:r>
        <w:rPr>
          <w:rFonts w:hint="eastAsia" w:ascii="仿宋_GB2312" w:hAnsi="仿宋_GB2312" w:eastAsia="仿宋_GB2312" w:cs="仿宋_GB2312"/>
          <w:bCs/>
          <w:kern w:val="0"/>
          <w:sz w:val="32"/>
          <w:szCs w:val="32"/>
          <w:lang w:val="en-US" w:eastAsia="zh-CN"/>
        </w:rPr>
        <w:t>超过</w:t>
      </w:r>
      <w:r>
        <w:rPr>
          <w:rFonts w:hint="eastAsia" w:ascii="仿宋_GB2312" w:hAnsi="仿宋_GB2312" w:eastAsia="仿宋_GB2312" w:cs="仿宋_GB2312"/>
          <w:bCs/>
          <w:kern w:val="0"/>
          <w:sz w:val="32"/>
          <w:szCs w:val="32"/>
        </w:rPr>
        <w:t>年初预算的</w:t>
      </w:r>
      <w:r>
        <w:rPr>
          <w:rFonts w:hint="eastAsia" w:ascii="仿宋_GB2312" w:hAnsi="仿宋_GB2312" w:eastAsia="仿宋_GB2312" w:cs="仿宋_GB2312"/>
          <w:bCs/>
          <w:kern w:val="0"/>
          <w:sz w:val="32"/>
          <w:szCs w:val="32"/>
          <w:lang w:val="en-US" w:eastAsia="zh-CN"/>
        </w:rPr>
        <w:t>146</w:t>
      </w:r>
      <w:r>
        <w:rPr>
          <w:rFonts w:hint="eastAsia" w:ascii="仿宋_GB2312" w:hAnsi="仿宋_GB2312" w:eastAsia="仿宋_GB2312" w:cs="仿宋_GB2312"/>
          <w:bCs/>
          <w:kern w:val="0"/>
          <w:sz w:val="32"/>
          <w:szCs w:val="32"/>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11.13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原因是：年初养老基数调减</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养老等社保支出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sz w:val="18"/>
                <w:szCs w:val="18"/>
                <w:highlight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年初养老基数调减</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养老等社保支出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sz w:val="18"/>
                <w:szCs w:val="18"/>
                <w:highlight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年初养老基数调减</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78.72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109.22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决算支出包含上级专项支出，年初无上级专项预算。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卫生监督机构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员经费及日常公用经费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sz w:val="18"/>
                <w:szCs w:val="18"/>
                <w:highlight w:val="none"/>
                <w:lang w:val="en-US" w:eastAsia="zh-CN"/>
              </w:rPr>
            </w:pPr>
            <w:r>
              <w:rPr>
                <w:rFonts w:hint="eastAsia" w:ascii="仿宋" w:hAnsi="仿宋" w:eastAsia="仿宋" w:cs="仿宋"/>
                <w:color w:val="auto"/>
                <w:kern w:val="2"/>
                <w:sz w:val="18"/>
                <w:szCs w:val="18"/>
                <w:highlight w:val="none"/>
                <w:lang w:val="en-US" w:eastAsia="zh-CN" w:bidi="ar"/>
              </w:rPr>
              <w:t>决算支出包含上级专项支出，年初无上级专项预算</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基本公共卫生服务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国家双随机项目经费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r>
              <w:rPr>
                <w:rFonts w:hint="eastAsia" w:ascii="仿宋" w:hAnsi="仿宋" w:eastAsia="仿宋" w:cs="仿宋"/>
                <w:color w:val="auto"/>
                <w:kern w:val="2"/>
                <w:sz w:val="18"/>
                <w:szCs w:val="18"/>
                <w:highlight w:val="none"/>
                <w:lang w:val="en-US" w:eastAsia="zh-CN" w:bidi="ar"/>
              </w:rPr>
              <w:t>决算支出包含上级专项支出，年初无上级专项预算</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重大公共卫生服务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水质、食品等安全监测经费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r>
              <w:rPr>
                <w:rFonts w:hint="eastAsia" w:ascii="仿宋" w:hAnsi="仿宋" w:eastAsia="仿宋" w:cs="仿宋"/>
                <w:color w:val="auto"/>
                <w:kern w:val="2"/>
                <w:sz w:val="18"/>
                <w:szCs w:val="18"/>
                <w:highlight w:val="none"/>
                <w:lang w:val="en-US" w:eastAsia="zh-CN" w:bidi="ar"/>
              </w:rPr>
              <w:t>决算支出包含上级专项支出，年初无上级专项预算</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109.22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各类卫生项目支出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sz w:val="18"/>
                <w:szCs w:val="18"/>
                <w:highlight w:val="none"/>
                <w:lang w:val="en-US" w:eastAsia="zh-CN"/>
              </w:rPr>
            </w:pPr>
            <w:r>
              <w:rPr>
                <w:rFonts w:hint="eastAsia" w:ascii="仿宋" w:hAnsi="仿宋" w:eastAsia="仿宋" w:cs="仿宋"/>
                <w:color w:val="auto"/>
                <w:kern w:val="2"/>
                <w:sz w:val="18"/>
                <w:szCs w:val="18"/>
                <w:highlight w:val="none"/>
                <w:lang w:val="en-US" w:eastAsia="zh-CN" w:bidi="ar"/>
              </w:rPr>
              <w:t>决算支出包含上级专项支出，年初无上级专项预算</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年初公积金基数调减</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支付在职人员住房公积金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年初公积金基数调减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支付在职人员住房公积金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年初公积金基数调减</w:t>
            </w:r>
          </w:p>
        </w:tc>
      </w:tr>
    </w:tbl>
    <w:p>
      <w:pPr>
        <w:jc w:val="left"/>
        <w:rPr>
          <w:rFonts w:hint="eastAsia"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113.16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110.75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2.41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autoSpaceDE w:val="0"/>
        <w:autoSpaceDN w:val="0"/>
        <w:adjustRightInd w:val="0"/>
        <w:spacing w:line="60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108.69</w:t>
      </w:r>
      <w:r>
        <w:rPr>
          <w:rFonts w:ascii="仿宋" w:hAnsi="仿宋" w:eastAsia="仿宋" w:cs="仿宋"/>
          <w:sz w:val="32"/>
          <w:u w:color="auto"/>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超额完成</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年初预算的</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lang w:eastAsia="zh-CN"/>
        </w:rPr>
        <w:t>主要是工资提高所致</w:t>
      </w:r>
      <w:r>
        <w:rPr>
          <w:rFonts w:hint="eastAsia" w:ascii="仿宋_GB2312" w:hAnsi="仿宋_GB2312" w:eastAsia="仿宋_GB2312" w:cs="仿宋_GB2312"/>
          <w:bCs/>
          <w:kern w:val="0"/>
          <w:sz w:val="32"/>
          <w:szCs w:val="32"/>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34.32万元，30102津贴补贴22.47万元，30103奖金0.00万元，30106伙食补助费1.2万元，30107绩效工资25.86万元，30108机关事业单位基本养老保险缴费11.73万元，30110职工基本医疗保险缴费4.83万元，30111公务员医疗补助缴费0.00万元，30112其他社会保障缴费0.12万元，30113住房公积金8.25万元，30199其他工资福利支出0.00万元。</w:t>
      </w:r>
    </w:p>
    <w:p>
      <w:pPr>
        <w:autoSpaceDE w:val="0"/>
        <w:autoSpaceDN w:val="0"/>
        <w:adjustRightInd w:val="0"/>
        <w:spacing w:line="600" w:lineRule="exact"/>
        <w:ind w:firstLine="640" w:firstLineChars="200"/>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2.14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lang w:val="en-US" w:eastAsia="zh-CN"/>
        </w:rPr>
        <w:t>每年均做工会经费预算，但决算时不在本单位反应工会经费支出情况。</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0.02万元，30202印刷费0.01万元，30205水费0.04万元，30206电费0.38万元，30207邮电费0.91万元，30211差旅费0.85万元，30215会议费0.00万元，30216培训费0.00万元，30217公务接待费0.05万元，30226劳务费0.00万元，30228工会经费0.00万元，30299其他商品和服务支出0.08万元。</w:t>
      </w:r>
    </w:p>
    <w:p>
      <w:pPr>
        <w:jc w:val="center"/>
        <w:rPr>
          <w:rFonts w:hint="eastAsia" w:ascii="仿宋" w:hAnsi="仿宋" w:eastAsia="仿宋" w:cs="仿宋"/>
          <w:sz w:val="32"/>
          <w:szCs w:val="32"/>
          <w:highlight w:val="none"/>
        </w:rPr>
      </w:pP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2.06</w:t>
      </w:r>
      <w:r>
        <w:rPr>
          <w:rFonts w:ascii="仿宋" w:hAnsi="仿宋" w:eastAsia="仿宋" w:cs="仿宋"/>
          <w:sz w:val="32"/>
          <w:u w:color="auto"/>
        </w:rPr>
        <w:t>万元，</w:t>
      </w:r>
      <w:r>
        <w:rPr>
          <w:rFonts w:hint="eastAsia" w:ascii="仿宋" w:hAnsi="仿宋" w:eastAsia="仿宋" w:cs="仿宋"/>
          <w:sz w:val="32"/>
          <w:u w:color="auto"/>
          <w:lang w:val="en-US" w:eastAsia="zh-CN"/>
        </w:rPr>
        <w:t>超额</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kern w:val="0"/>
          <w:sz w:val="32"/>
          <w:szCs w:val="32"/>
          <w:lang w:eastAsia="zh-CN"/>
        </w:rPr>
        <w:t>差异原因为退休人员生活补助不在年初预算反应</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30301离休费0.00万元，30302退休费0.00万元，30305生活补助2万元，30399其他对个人和家庭的补助0.07万元</w:t>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主要原因是：本单位本年度没有债务利息费用支出。</w:t>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主要原因是：本单位本年度没有资本性支出。</w:t>
      </w:r>
    </w:p>
    <w:p>
      <w:pPr>
        <w:keepNext w:val="0"/>
        <w:keepLines w:val="0"/>
        <w:widowControl w:val="0"/>
        <w:numPr>
          <w:numId w:val="0"/>
        </w:numPr>
        <w:suppressLineNumbers w:val="0"/>
        <w:spacing w:before="0" w:beforeAutospacing="0" w:after="0" w:afterAutospacing="0"/>
        <w:ind w:right="0" w:rightChars="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主要原因是：本单位本年度没有其他支出。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监督所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4" w:name="PO_part3A5B1C1DiffReason1"/>
      <w:r>
        <w:rPr>
          <w:rFonts w:hint="eastAsia" w:ascii="仿宋_GB2312" w:hAnsi="Times New Roman" w:eastAsia="仿宋_GB2312" w:cs="Times New Roman"/>
          <w:color w:val="auto"/>
          <w:sz w:val="32"/>
          <w:szCs w:val="32"/>
          <w:lang w:val="en-US" w:eastAsia="zh-CN"/>
        </w:rPr>
        <w:t>监督所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主要原因是：本部门没有“三公经费”支出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szCs w:val="32"/>
          <w:highlight w:val="none"/>
          <w:lang w:val="en-US" w:eastAsia="zh-CN"/>
        </w:rPr>
        <w:t>监督所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主要原因是：本部门没有公务接待费支出。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减少120.7</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根据财政预算管理要求，我部门组织对</w:t>
      </w:r>
      <w:r>
        <w:rPr>
          <w:rFonts w:hint="eastAsia" w:ascii="Times New Roman" w:hAnsi="Times New Roman" w:eastAsia="仿宋_GB2312" w:cs="Times New Roman"/>
          <w:b w:val="0"/>
          <w:bCs w:val="0"/>
          <w:kern w:val="0"/>
          <w:sz w:val="32"/>
          <w:szCs w:val="32"/>
          <w:lang w:eastAsia="zh-CN"/>
        </w:rPr>
        <w:t>2022</w:t>
      </w:r>
      <w:r>
        <w:rPr>
          <w:rFonts w:hint="default" w:ascii="Times New Roman" w:hAnsi="Times New Roman" w:eastAsia="仿宋_GB2312" w:cs="Times New Roman"/>
          <w:b w:val="0"/>
          <w:bCs w:val="0"/>
          <w:kern w:val="0"/>
          <w:sz w:val="32"/>
          <w:szCs w:val="32"/>
        </w:rPr>
        <w:t>年度一般公共预算项目支出全面开展绩效自评。</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一</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预算基本情况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eastAsia" w:ascii="仿宋_GB2312" w:hAnsi="仿宋_GB2312" w:eastAsia="仿宋_GB2312" w:cs="仿宋_GB2312"/>
          <w:i w:val="0"/>
          <w:iCs w:val="0"/>
          <w:caps w:val="0"/>
          <w:color w:val="333333"/>
          <w:spacing w:val="0"/>
          <w:sz w:val="32"/>
          <w:szCs w:val="32"/>
        </w:rPr>
        <w:t>年初部门预算</w:t>
      </w:r>
      <w:r>
        <w:rPr>
          <w:rFonts w:hint="eastAsia" w:ascii="仿宋_GB2312" w:hAnsi="仿宋_GB2312" w:eastAsia="仿宋_GB2312" w:cs="仿宋_GB2312"/>
          <w:i w:val="0"/>
          <w:iCs w:val="0"/>
          <w:caps w:val="0"/>
          <w:color w:val="333333"/>
          <w:spacing w:val="0"/>
          <w:sz w:val="32"/>
          <w:szCs w:val="32"/>
          <w:lang w:eastAsia="zh-CN"/>
        </w:rPr>
        <w:t>安排</w:t>
      </w:r>
      <w:r>
        <w:rPr>
          <w:rFonts w:hint="eastAsia" w:ascii="仿宋_GB2312" w:hAnsi="仿宋_GB2312" w:eastAsia="仿宋_GB2312" w:cs="仿宋_GB2312"/>
          <w:i w:val="0"/>
          <w:iCs w:val="0"/>
          <w:caps w:val="0"/>
          <w:color w:val="333333"/>
          <w:spacing w:val="0"/>
          <w:sz w:val="32"/>
          <w:szCs w:val="32"/>
        </w:rPr>
        <w:t>情况</w:t>
      </w:r>
      <w:r>
        <w:rPr>
          <w:rFonts w:hint="eastAsia" w:ascii="仿宋_GB2312" w:hAnsi="仿宋_GB2312" w:eastAsia="仿宋_GB2312" w:cs="仿宋_GB2312"/>
          <w:i w:val="0"/>
          <w:iCs w:val="0"/>
          <w:caps w:val="0"/>
          <w:color w:val="333333"/>
          <w:spacing w:val="0"/>
          <w:sz w:val="32"/>
          <w:szCs w:val="32"/>
          <w:lang w:eastAsia="zh-CN"/>
        </w:rPr>
        <w:t>：预算</w:t>
      </w:r>
      <w:r>
        <w:rPr>
          <w:rFonts w:hint="eastAsia" w:ascii="仿宋_GB2312" w:hAnsi="仿宋_GB2312" w:eastAsia="仿宋_GB2312" w:cs="仿宋_GB2312"/>
          <w:i w:val="0"/>
          <w:iCs w:val="0"/>
          <w:caps w:val="0"/>
          <w:color w:val="333333"/>
          <w:spacing w:val="0"/>
          <w:sz w:val="32"/>
          <w:szCs w:val="32"/>
        </w:rPr>
        <w:t>资金全部来自一般公共预算财政拨款，年初预算</w:t>
      </w:r>
      <w:r>
        <w:rPr>
          <w:rFonts w:hint="eastAsia" w:ascii="仿宋_GB2312" w:hAnsi="仿宋_GB2312" w:eastAsia="仿宋_GB2312" w:cs="仿宋_GB2312"/>
          <w:i w:val="0"/>
          <w:iCs w:val="0"/>
          <w:caps w:val="0"/>
          <w:color w:val="333333"/>
          <w:spacing w:val="0"/>
          <w:sz w:val="32"/>
          <w:szCs w:val="32"/>
          <w:lang w:eastAsia="zh-CN"/>
        </w:rPr>
        <w:t>经费</w:t>
      </w:r>
      <w:r>
        <w:rPr>
          <w:rFonts w:hint="eastAsia" w:ascii="仿宋_GB2312" w:hAnsi="仿宋_GB2312" w:eastAsia="仿宋_GB2312" w:cs="仿宋_GB2312"/>
          <w:i w:val="0"/>
          <w:iCs w:val="0"/>
          <w:caps w:val="0"/>
          <w:color w:val="333333"/>
          <w:spacing w:val="0"/>
          <w:sz w:val="32"/>
          <w:szCs w:val="32"/>
          <w:lang w:val="en-US" w:eastAsia="zh-CN"/>
        </w:rPr>
        <w:t>99.59</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，其中：</w:t>
      </w:r>
      <w:r>
        <w:rPr>
          <w:rFonts w:hint="eastAsia" w:ascii="仿宋_GB2312" w:hAnsi="仿宋_GB2312" w:eastAsia="仿宋_GB2312" w:cs="仿宋_GB2312"/>
          <w:i w:val="0"/>
          <w:iCs w:val="0"/>
          <w:caps w:val="0"/>
          <w:color w:val="333333"/>
          <w:spacing w:val="0"/>
          <w:sz w:val="32"/>
          <w:szCs w:val="32"/>
        </w:rPr>
        <w:t>基本支出</w:t>
      </w:r>
      <w:r>
        <w:rPr>
          <w:rFonts w:hint="eastAsia" w:ascii="仿宋_GB2312" w:hAnsi="仿宋_GB2312" w:eastAsia="仿宋_GB2312" w:cs="仿宋_GB2312"/>
          <w:i w:val="0"/>
          <w:iCs w:val="0"/>
          <w:caps w:val="0"/>
          <w:color w:val="333333"/>
          <w:spacing w:val="0"/>
          <w:sz w:val="32"/>
          <w:szCs w:val="32"/>
          <w:lang w:val="en-US" w:eastAsia="zh-CN"/>
        </w:rPr>
        <w:t>91.59</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，项目支出</w:t>
      </w:r>
      <w:r>
        <w:rPr>
          <w:rFonts w:hint="eastAsia" w:ascii="仿宋_GB2312" w:hAnsi="仿宋_GB2312" w:eastAsia="仿宋_GB2312" w:cs="仿宋_GB2312"/>
          <w:i w:val="0"/>
          <w:iCs w:val="0"/>
          <w:caps w:val="0"/>
          <w:color w:val="333333"/>
          <w:spacing w:val="0"/>
          <w:sz w:val="32"/>
          <w:szCs w:val="32"/>
          <w:lang w:val="en-US" w:eastAsia="zh-CN"/>
        </w:rPr>
        <w:t>8万元</w:t>
      </w:r>
      <w:r>
        <w:rPr>
          <w:rFonts w:hint="eastAsia" w:ascii="仿宋_GB2312" w:hAnsi="仿宋_GB2312" w:eastAsia="仿宋_GB2312" w:cs="仿宋_GB2312"/>
          <w:i w:val="0"/>
          <w:iCs w:val="0"/>
          <w:caps w:val="0"/>
          <w:color w:val="333333"/>
          <w:spacing w:val="0"/>
          <w:sz w:val="32"/>
          <w:szCs w:val="32"/>
        </w:rPr>
        <w:t>）</w:t>
      </w:r>
      <w:r>
        <w:rPr>
          <w:rFonts w:hint="default" w:ascii="Times New Roman" w:hAnsi="Times New Roman" w:eastAsia="仿宋_GB2312" w:cs="Times New Roman"/>
          <w:b w:val="0"/>
          <w:bCs w:val="0"/>
          <w:kern w:val="0"/>
          <w:sz w:val="32"/>
          <w:szCs w:val="32"/>
        </w:rPr>
        <w:t>，</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（二）项目支出执行情况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 xml:space="preserve">一级项目 </w:t>
      </w:r>
      <w:r>
        <w:rPr>
          <w:rFonts w:hint="eastAsia"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 xml:space="preserve"> 个，二级项目 </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 xml:space="preserve"> 个，共涉及资金</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lang w:val="en-US" w:eastAsia="zh-CN"/>
        </w:rPr>
        <w:t>预算8万元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auto"/>
          <w:spacing w:val="0"/>
          <w:sz w:val="32"/>
          <w:szCs w:val="32"/>
          <w:lang w:val="en-US" w:eastAsia="zh-CN"/>
        </w:rPr>
        <w:t>8.45</w:t>
      </w:r>
      <w:r>
        <w:rPr>
          <w:rFonts w:hint="eastAsia" w:ascii="仿宋_GB2312" w:hAnsi="仿宋_GB2312" w:eastAsia="仿宋_GB2312" w:cs="仿宋_GB2312"/>
          <w:i w:val="0"/>
          <w:iCs w:val="0"/>
          <w:caps w:val="0"/>
          <w:color w:val="auto"/>
          <w:spacing w:val="0"/>
          <w:sz w:val="32"/>
          <w:szCs w:val="32"/>
        </w:rPr>
        <w:t>万元</w:t>
      </w:r>
      <w:r>
        <w:rPr>
          <w:rFonts w:hint="eastAsia" w:ascii="仿宋_GB2312" w:hAnsi="仿宋_GB2312" w:eastAsia="仿宋_GB2312" w:cs="仿宋_GB2312"/>
          <w:i w:val="0"/>
          <w:iCs w:val="0"/>
          <w:caps w:val="0"/>
          <w:color w:val="auto"/>
          <w:spacing w:val="0"/>
          <w:sz w:val="32"/>
          <w:szCs w:val="32"/>
          <w:lang w:eastAsia="zh-CN"/>
        </w:rPr>
        <w:t>，调整后预算数</w:t>
      </w:r>
      <w:r>
        <w:rPr>
          <w:rFonts w:hint="eastAsia" w:ascii="仿宋_GB2312" w:hAnsi="仿宋_GB2312" w:eastAsia="仿宋_GB2312" w:cs="仿宋_GB2312"/>
          <w:i w:val="0"/>
          <w:iCs w:val="0"/>
          <w:caps w:val="0"/>
          <w:color w:val="auto"/>
          <w:spacing w:val="0"/>
          <w:sz w:val="32"/>
          <w:szCs w:val="32"/>
          <w:lang w:val="en-US" w:eastAsia="zh-CN"/>
        </w:rPr>
        <w:t>16.45万元，全年执行数16.45</w:t>
      </w:r>
      <w:r>
        <w:rPr>
          <w:rFonts w:hint="eastAsia" w:ascii="仿宋_GB2312" w:hAnsi="仿宋_GB2312" w:eastAsia="仿宋_GB2312" w:cs="仿宋_GB2312"/>
          <w:i w:val="0"/>
          <w:iCs w:val="0"/>
          <w:caps w:val="0"/>
          <w:color w:val="333333"/>
          <w:spacing w:val="0"/>
          <w:sz w:val="32"/>
          <w:szCs w:val="32"/>
          <w:lang w:val="en-US" w:eastAsia="zh-CN"/>
        </w:rPr>
        <w:t>万元，平均预算执行率100%</w:t>
      </w:r>
      <w:r>
        <w:rPr>
          <w:rFonts w:hint="default" w:ascii="Times New Roman" w:hAnsi="Times New Roman" w:eastAsia="仿宋_GB2312" w:cs="Times New Roman"/>
          <w:b w:val="0"/>
          <w:bCs w:val="0"/>
          <w:kern w:val="0"/>
          <w:sz w:val="32"/>
          <w:szCs w:val="32"/>
        </w:rPr>
        <w:t xml:space="preserve"> 万元，占一般公共预算项目支出总额的</w:t>
      </w:r>
      <w:r>
        <w:rPr>
          <w:rFonts w:hint="eastAsia" w:ascii="Times New Roman" w:hAnsi="Times New Roman" w:eastAsia="仿宋_GB2312" w:cs="Times New Roman"/>
          <w:b w:val="0"/>
          <w:bCs w:val="0"/>
          <w:kern w:val="0"/>
          <w:sz w:val="32"/>
          <w:szCs w:val="32"/>
          <w:lang w:val="en-US" w:eastAsia="zh-CN"/>
        </w:rPr>
        <w:t>100</w:t>
      </w:r>
      <w:r>
        <w:rPr>
          <w:rFonts w:hint="default" w:ascii="Times New Roman" w:hAnsi="Times New Roman" w:eastAsia="仿宋_GB2312" w:cs="Times New Roman"/>
          <w:b w:val="0"/>
          <w:bCs w:val="0"/>
          <w:kern w:val="0"/>
          <w:sz w:val="32"/>
          <w:szCs w:val="32"/>
        </w:rPr>
        <w:t xml:space="preserve"> %。</w:t>
      </w:r>
    </w:p>
    <w:p>
      <w:pPr>
        <w:keepNext w:val="0"/>
        <w:keepLines w:val="0"/>
        <w:pageBreakBefore w:val="0"/>
        <w:widowControl/>
        <w:kinsoku/>
        <w:wordWrap/>
        <w:overflowPunct/>
        <w:topLinePunct w:val="0"/>
        <w:bidi w:val="0"/>
        <w:snapToGrid/>
        <w:spacing w:line="560" w:lineRule="exact"/>
        <w:ind w:firstLine="640"/>
        <w:textAlignment w:val="auto"/>
        <w:rPr>
          <w:rFonts w:hint="eastAsia" w:ascii="华文仿宋" w:hAnsi="华文仿宋" w:eastAsia="华文仿宋" w:cs="华文仿宋"/>
          <w:b w:val="0"/>
          <w:bCs w:val="0"/>
          <w:kern w:val="0"/>
          <w:sz w:val="32"/>
          <w:szCs w:val="32"/>
          <w:lang w:val="en-US" w:eastAsia="zh-CN"/>
        </w:rPr>
      </w:pPr>
      <w:r>
        <w:rPr>
          <w:rFonts w:hint="eastAsia" w:ascii="华文仿宋" w:hAnsi="华文仿宋" w:eastAsia="华文仿宋" w:cs="华文仿宋"/>
          <w:b w:val="0"/>
          <w:bCs w:val="0"/>
          <w:kern w:val="0"/>
          <w:sz w:val="32"/>
          <w:szCs w:val="32"/>
          <w:lang w:val="en-US" w:eastAsia="zh-CN"/>
        </w:rPr>
        <w:t>2.</w:t>
      </w:r>
      <w:r>
        <w:rPr>
          <w:rFonts w:hint="eastAsia" w:ascii="华文仿宋" w:hAnsi="华文仿宋" w:eastAsia="华文仿宋" w:cs="华文仿宋"/>
          <w:sz w:val="32"/>
          <w:szCs w:val="32"/>
        </w:rPr>
        <w:t>自评工作开展情况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组织对</w:t>
      </w:r>
      <w:r>
        <w:rPr>
          <w:rFonts w:hint="eastAsia" w:ascii="Times New Roman" w:hAnsi="Times New Roman" w:eastAsia="仿宋_GB2312" w:cs="Times New Roman"/>
          <w:b w:val="0"/>
          <w:bCs w:val="0"/>
          <w:kern w:val="0"/>
          <w:sz w:val="32"/>
          <w:szCs w:val="32"/>
          <w:lang w:eastAsia="zh-CN"/>
        </w:rPr>
        <w:t>2022</w:t>
      </w:r>
      <w:r>
        <w:rPr>
          <w:rFonts w:hint="default" w:ascii="Times New Roman" w:hAnsi="Times New Roman" w:eastAsia="仿宋_GB2312" w:cs="Times New Roman"/>
          <w:b w:val="0"/>
          <w:bCs w:val="0"/>
          <w:kern w:val="0"/>
          <w:sz w:val="32"/>
          <w:szCs w:val="32"/>
        </w:rPr>
        <w:t>年度</w:t>
      </w:r>
      <w:r>
        <w:rPr>
          <w:rFonts w:hint="eastAsia" w:ascii="Times New Roman" w:hAnsi="Times New Roman" w:eastAsia="仿宋_GB2312" w:cs="Times New Roman"/>
          <w:b w:val="0"/>
          <w:bCs w:val="0"/>
          <w:kern w:val="0"/>
          <w:sz w:val="32"/>
          <w:szCs w:val="32"/>
          <w:lang w:val="en-US" w:eastAsia="zh-CN"/>
        </w:rPr>
        <w:t>公共卫生监督项目</w:t>
      </w:r>
      <w:r>
        <w:rPr>
          <w:rFonts w:hint="default" w:ascii="Times New Roman" w:hAnsi="Times New Roman" w:eastAsia="仿宋_GB2312" w:cs="Times New Roman"/>
          <w:b w:val="0"/>
          <w:bCs w:val="0"/>
          <w:kern w:val="0"/>
          <w:sz w:val="32"/>
          <w:szCs w:val="32"/>
        </w:rPr>
        <w:t xml:space="preserve">等 </w:t>
      </w:r>
      <w:r>
        <w:rPr>
          <w:rFonts w:hint="eastAsia"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 xml:space="preserve">个政府性基金预算项目支出开展绩效自评，共涉及资金 </w:t>
      </w:r>
      <w:r>
        <w:rPr>
          <w:rFonts w:hint="eastAsia" w:ascii="Times New Roman" w:hAnsi="Times New Roman" w:eastAsia="仿宋_GB2312" w:cs="Times New Roman"/>
          <w:b w:val="0"/>
          <w:bCs w:val="0"/>
          <w:kern w:val="0"/>
          <w:sz w:val="32"/>
          <w:szCs w:val="32"/>
          <w:lang w:val="en-US" w:eastAsia="zh-CN"/>
        </w:rPr>
        <w:t>16.45</w:t>
      </w:r>
      <w:r>
        <w:rPr>
          <w:rFonts w:hint="default" w:ascii="Times New Roman" w:hAnsi="Times New Roman" w:eastAsia="仿宋_GB2312" w:cs="Times New Roman"/>
          <w:b w:val="0"/>
          <w:bCs w:val="0"/>
          <w:kern w:val="0"/>
          <w:sz w:val="32"/>
          <w:szCs w:val="32"/>
        </w:rPr>
        <w:t xml:space="preserve"> 万元，占政府性基金预算项目支出总额的</w:t>
      </w:r>
      <w:r>
        <w:rPr>
          <w:rFonts w:hint="eastAsia" w:ascii="Times New Roman" w:hAnsi="Times New Roman" w:eastAsia="仿宋_GB2312" w:cs="Times New Roman"/>
          <w:b w:val="0"/>
          <w:bCs w:val="0"/>
          <w:kern w:val="0"/>
          <w:sz w:val="32"/>
          <w:szCs w:val="32"/>
          <w:lang w:val="en-US" w:eastAsia="zh-CN"/>
        </w:rPr>
        <w:t>100</w:t>
      </w:r>
      <w:r>
        <w:rPr>
          <w:rFonts w:hint="default" w:ascii="Times New Roman" w:hAnsi="Times New Roman" w:eastAsia="仿宋_GB2312" w:cs="Times New Roman"/>
          <w:b w:val="0"/>
          <w:bCs w:val="0"/>
          <w:kern w:val="0"/>
          <w:sz w:val="32"/>
          <w:szCs w:val="32"/>
        </w:rPr>
        <w:t xml:space="preserve"> %。</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组织对</w:t>
      </w:r>
      <w:r>
        <w:rPr>
          <w:rFonts w:hint="eastAsia" w:ascii="Times New Roman" w:hAnsi="Times New Roman" w:eastAsia="仿宋_GB2312" w:cs="Times New Roman"/>
          <w:b w:val="0"/>
          <w:bCs w:val="0"/>
          <w:kern w:val="0"/>
          <w:sz w:val="32"/>
          <w:szCs w:val="32"/>
          <w:lang w:eastAsia="zh-CN"/>
        </w:rPr>
        <w:t>2022</w:t>
      </w:r>
      <w:r>
        <w:rPr>
          <w:rFonts w:hint="default" w:ascii="Times New Roman" w:hAnsi="Times New Roman" w:eastAsia="仿宋_GB2312" w:cs="Times New Roman"/>
          <w:b w:val="0"/>
          <w:bCs w:val="0"/>
          <w:kern w:val="0"/>
          <w:sz w:val="32"/>
          <w:szCs w:val="32"/>
        </w:rPr>
        <w:t>年度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 xml:space="preserve">等个国有资本经营预算项目支出开展绩效自评，共涉及资金  </w:t>
      </w:r>
      <w:r>
        <w:rPr>
          <w:rFonts w:hint="eastAsia" w:ascii="Times New Roman" w:hAnsi="Times New Roman" w:eastAsia="仿宋_GB2312" w:cs="Times New Roman"/>
          <w:b w:val="0"/>
          <w:bCs w:val="0"/>
          <w:kern w:val="0"/>
          <w:sz w:val="32"/>
          <w:szCs w:val="32"/>
          <w:lang w:val="en-US" w:eastAsia="zh-CN"/>
        </w:rPr>
        <w:t>0.00</w:t>
      </w:r>
      <w:r>
        <w:rPr>
          <w:rFonts w:hint="default" w:ascii="Times New Roman" w:hAnsi="Times New Roman" w:eastAsia="仿宋_GB2312" w:cs="Times New Roman"/>
          <w:b w:val="0"/>
          <w:bCs w:val="0"/>
          <w:kern w:val="0"/>
          <w:sz w:val="32"/>
          <w:szCs w:val="32"/>
        </w:rPr>
        <w:t xml:space="preserve">万元，占国有资本经营预算项目支出总额的 </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 xml:space="preserve"> %</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组织对</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个项目进行了部门评价，涉及一般公共预算支出</w:t>
      </w:r>
      <w:r>
        <w:rPr>
          <w:rFonts w:hint="eastAsia" w:ascii="Times New Roman" w:hAnsi="Times New Roman" w:eastAsia="仿宋_GB2312" w:cs="Times New Roman"/>
          <w:b w:val="0"/>
          <w:bCs w:val="0"/>
          <w:kern w:val="0"/>
          <w:sz w:val="32"/>
          <w:szCs w:val="32"/>
          <w:lang w:val="en-US" w:eastAsia="zh-CN"/>
        </w:rPr>
        <w:t>0.00</w:t>
      </w:r>
      <w:r>
        <w:rPr>
          <w:rFonts w:hint="default" w:ascii="Times New Roman" w:hAnsi="Times New Roman" w:eastAsia="仿宋_GB2312" w:cs="Times New Roman"/>
          <w:b w:val="0"/>
          <w:bCs w:val="0"/>
          <w:kern w:val="0"/>
          <w:sz w:val="32"/>
          <w:szCs w:val="32"/>
        </w:rPr>
        <w:t>万元，政府性基金预算支出</w:t>
      </w:r>
      <w:r>
        <w:rPr>
          <w:rFonts w:hint="eastAsia" w:ascii="Times New Roman" w:hAnsi="Times New Roman" w:eastAsia="仿宋_GB2312" w:cs="Times New Roman"/>
          <w:b w:val="0"/>
          <w:bCs w:val="0"/>
          <w:kern w:val="0"/>
          <w:sz w:val="32"/>
          <w:szCs w:val="32"/>
          <w:lang w:val="en-US" w:eastAsia="zh-CN"/>
        </w:rPr>
        <w:t>0.00</w:t>
      </w:r>
      <w:r>
        <w:rPr>
          <w:rFonts w:hint="default" w:ascii="Times New Roman" w:hAnsi="Times New Roman" w:eastAsia="仿宋_GB2312" w:cs="Times New Roman"/>
          <w:b w:val="0"/>
          <w:bCs w:val="0"/>
          <w:kern w:val="0"/>
          <w:sz w:val="32"/>
          <w:szCs w:val="32"/>
        </w:rPr>
        <w:t xml:space="preserve">万元，国有资本经营预算支出 </w:t>
      </w:r>
      <w:r>
        <w:rPr>
          <w:rFonts w:hint="eastAsia" w:ascii="Times New Roman" w:hAnsi="Times New Roman" w:eastAsia="仿宋_GB2312" w:cs="Times New Roman"/>
          <w:b w:val="0"/>
          <w:bCs w:val="0"/>
          <w:kern w:val="0"/>
          <w:sz w:val="32"/>
          <w:szCs w:val="32"/>
          <w:lang w:val="en-US" w:eastAsia="zh-CN"/>
        </w:rPr>
        <w:t>0.00</w:t>
      </w:r>
      <w:r>
        <w:rPr>
          <w:rFonts w:hint="default" w:ascii="Times New Roman" w:hAnsi="Times New Roman" w:eastAsia="仿宋_GB2312" w:cs="Times New Roman"/>
          <w:b w:val="0"/>
          <w:bCs w:val="0"/>
          <w:kern w:val="0"/>
          <w:sz w:val="32"/>
          <w:szCs w:val="32"/>
        </w:rPr>
        <w:t>万元。</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组织对</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 xml:space="preserve">个部门（单位）开展整体支出绩效评价试点，涉及一般公共预算支出  </w:t>
      </w:r>
      <w:r>
        <w:rPr>
          <w:rFonts w:hint="eastAsia" w:ascii="Times New Roman" w:hAnsi="Times New Roman" w:eastAsia="仿宋_GB2312" w:cs="Times New Roman"/>
          <w:b w:val="0"/>
          <w:bCs w:val="0"/>
          <w:kern w:val="0"/>
          <w:sz w:val="32"/>
          <w:szCs w:val="32"/>
          <w:lang w:val="en-US" w:eastAsia="zh-CN"/>
        </w:rPr>
        <w:t>0.00</w:t>
      </w:r>
      <w:r>
        <w:rPr>
          <w:rFonts w:hint="default" w:ascii="Times New Roman" w:hAnsi="Times New Roman" w:eastAsia="仿宋_GB2312" w:cs="Times New Roman"/>
          <w:b w:val="0"/>
          <w:bCs w:val="0"/>
          <w:kern w:val="0"/>
          <w:sz w:val="32"/>
          <w:szCs w:val="32"/>
        </w:rPr>
        <w:t xml:space="preserve"> 万元，政府性基金预算支出      万元。</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lang w:val="en-US" w:eastAsia="zh-CN"/>
        </w:rPr>
        <w:t>3</w:t>
      </w:r>
      <w:r>
        <w:rPr>
          <w:rFonts w:hint="default" w:ascii="Times New Roman" w:hAnsi="Times New Roman" w:eastAsia="仿宋_GB2312" w:cs="Times New Roman"/>
          <w:b/>
          <w:bCs/>
          <w:kern w:val="0"/>
          <w:sz w:val="32"/>
          <w:szCs w:val="32"/>
        </w:rPr>
        <w:t>.部门决算中项目绩效自评结果。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atLeast"/>
        <w:ind w:right="0" w:rightChars="0" w:firstLine="640" w:firstLineChars="200"/>
        <w:jc w:val="both"/>
        <w:textAlignment w:val="auto"/>
        <w:rPr>
          <w:rFonts w:hint="eastAsia" w:ascii="仿宋_GB2312" w:hAnsi="仿宋_GB2312" w:eastAsia="仿宋_GB2312" w:cs="Times New Roman"/>
          <w:kern w:val="2"/>
          <w:sz w:val="32"/>
          <w:szCs w:val="32"/>
          <w:lang w:val="en-US" w:eastAsia="zh-CN" w:bidi="ar-SA"/>
        </w:rPr>
      </w:pPr>
      <w:r>
        <w:rPr>
          <w:rFonts w:hint="default" w:ascii="Times New Roman" w:hAnsi="Times New Roman" w:eastAsia="仿宋_GB2312" w:cs="Times New Roman"/>
          <w:b w:val="0"/>
          <w:bCs w:val="0"/>
          <w:kern w:val="0"/>
          <w:sz w:val="32"/>
          <w:szCs w:val="32"/>
        </w:rPr>
        <w:t>我部门根据年初设定的绩效目标，</w:t>
      </w:r>
      <w:r>
        <w:rPr>
          <w:rFonts w:hint="eastAsia" w:ascii="Times New Roman" w:hAnsi="Times New Roman" w:eastAsia="仿宋_GB2312" w:cs="Times New Roman"/>
          <w:b w:val="0"/>
          <w:bCs w:val="0"/>
          <w:kern w:val="0"/>
          <w:sz w:val="32"/>
          <w:szCs w:val="32"/>
          <w:lang w:val="en-US" w:eastAsia="zh-CN"/>
        </w:rPr>
        <w:t>有</w:t>
      </w:r>
      <w:r>
        <w:rPr>
          <w:rFonts w:hint="default" w:ascii="Times New Roman" w:hAnsi="Times New Roman" w:eastAsia="仿宋_GB2312" w:cs="Times New Roman"/>
          <w:b w:val="0"/>
          <w:bCs w:val="0"/>
          <w:kern w:val="0"/>
          <w:sz w:val="32"/>
          <w:szCs w:val="32"/>
        </w:rPr>
        <w:t>公共卫生监督项目</w:t>
      </w:r>
      <w:r>
        <w:rPr>
          <w:rFonts w:hint="eastAsia" w:ascii="Times New Roman" w:hAnsi="Times New Roman" w:eastAsia="仿宋_GB2312" w:cs="Times New Roman"/>
          <w:b w:val="0"/>
          <w:bCs w:val="0"/>
          <w:kern w:val="0"/>
          <w:sz w:val="32"/>
          <w:szCs w:val="32"/>
          <w:lang w:eastAsia="zh-CN"/>
        </w:rPr>
        <w:t>、机关失业单位伙食补助费、政府购买人员经费、奖励性补贴</w:t>
      </w:r>
      <w:r>
        <w:rPr>
          <w:rFonts w:hint="eastAsia"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项目自评，</w:t>
      </w:r>
      <w:r>
        <w:rPr>
          <w:rFonts w:hint="eastAsia" w:ascii="Times New Roman" w:hAnsi="Times New Roman" w:eastAsia="仿宋_GB2312" w:cs="Times New Roman"/>
          <w:b w:val="0"/>
          <w:bCs w:val="0"/>
          <w:kern w:val="0"/>
          <w:sz w:val="32"/>
          <w:szCs w:val="32"/>
          <w:lang w:val="en-US" w:eastAsia="zh-CN"/>
        </w:rPr>
        <w:t>未发现问题。</w:t>
      </w:r>
      <w:r>
        <w:rPr>
          <w:rFonts w:hint="eastAsia" w:ascii="仿宋_GB2312" w:hAnsi="仿宋_GB2312" w:eastAsia="仿宋_GB2312" w:cs="Times New Roman"/>
          <w:kern w:val="2"/>
          <w:sz w:val="32"/>
          <w:szCs w:val="32"/>
          <w:lang w:val="en-US" w:eastAsia="zh-CN" w:bidi="ar-SA"/>
        </w:rPr>
        <w:t>项目支出绩效自评结果：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atLeast"/>
        <w:ind w:right="0" w:rightChars="0" w:firstLine="640" w:firstLineChars="200"/>
        <w:jc w:val="both"/>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（1）项目自评得分情况项目4个项目平均分100分。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atLeast"/>
        <w:ind w:right="0" w:rightChars="0" w:firstLine="640" w:firstLineChars="200"/>
        <w:jc w:val="both"/>
        <w:textAlignment w:val="auto"/>
        <w:rPr>
          <w:rFonts w:hint="default" w:ascii="Times New Roman" w:hAnsi="Times New Roman" w:eastAsia="仿宋_GB2312" w:cs="Times New Roman"/>
          <w:b w:val="0"/>
          <w:bCs w:val="0"/>
          <w:kern w:val="0"/>
          <w:sz w:val="32"/>
          <w:szCs w:val="32"/>
        </w:rPr>
      </w:pPr>
      <w:r>
        <w:rPr>
          <w:rFonts w:hint="eastAsia" w:ascii="仿宋_GB2312" w:hAnsi="仿宋_GB2312" w:eastAsia="仿宋_GB2312" w:cs="Times New Roman"/>
          <w:kern w:val="2"/>
          <w:sz w:val="32"/>
          <w:szCs w:val="32"/>
          <w:lang w:val="en-US" w:eastAsia="zh-CN" w:bidi="ar-SA"/>
        </w:rPr>
        <w:t>（2）项目评分等级分布情况：4个项目自评为“一等”等级。</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color w:val="FF0000"/>
          <w:kern w:val="0"/>
          <w:sz w:val="32"/>
          <w:szCs w:val="32"/>
          <w:u w:val="single"/>
        </w:rPr>
      </w:pPr>
      <w:r>
        <w:rPr>
          <w:rFonts w:hint="eastAsia" w:ascii="Times New Roman" w:hAnsi="Times New Roman" w:eastAsia="仿宋_GB2312" w:cs="Times New Roman"/>
          <w:b w:val="0"/>
          <w:bCs w:val="0"/>
          <w:kern w:val="0"/>
          <w:sz w:val="32"/>
          <w:szCs w:val="32"/>
          <w:lang w:val="en-US" w:eastAsia="zh-CN"/>
        </w:rPr>
        <w:t>监督所</w:t>
      </w:r>
      <w:r>
        <w:rPr>
          <w:rFonts w:hint="default" w:ascii="Times New Roman" w:hAnsi="Times New Roman" w:eastAsia="仿宋_GB2312" w:cs="Times New Roman"/>
          <w:b w:val="0"/>
          <w:bCs w:val="0"/>
          <w:kern w:val="0"/>
          <w:sz w:val="32"/>
          <w:szCs w:val="32"/>
        </w:rPr>
        <w:t>项目绩效自评综述：</w:t>
      </w:r>
      <w:r>
        <w:rPr>
          <w:rFonts w:hint="eastAsia" w:ascii="仿宋_GB2312" w:hAnsi="仿宋_GB2312" w:eastAsia="仿宋_GB2312" w:cs="仿宋_GB2312"/>
          <w:sz w:val="32"/>
          <w:szCs w:val="32"/>
        </w:rPr>
        <w:t>自评结果</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应用</w:t>
      </w:r>
      <w:r>
        <w:rPr>
          <w:rFonts w:hint="eastAsia" w:ascii="仿宋_GB2312" w:hAnsi="仿宋_GB2312" w:eastAsia="仿宋_GB2312" w:cs="仿宋_GB2312"/>
          <w:sz w:val="32"/>
          <w:szCs w:val="32"/>
          <w:lang w:eastAsia="zh-CN"/>
        </w:rPr>
        <w:t>情况</w:t>
      </w:r>
      <w:r>
        <w:rPr>
          <w:rFonts w:hint="eastAsia" w:ascii="仿宋_GB2312" w:hAnsi="仿宋_GB2312" w:eastAsia="仿宋_GB2312" w:cs="Times New Roman"/>
          <w:sz w:val="32"/>
          <w:szCs w:val="32"/>
        </w:rPr>
        <w:t>。</w:t>
      </w:r>
      <w:r>
        <w:rPr>
          <w:rFonts w:hint="eastAsia" w:ascii="仿宋_GB2312" w:hAnsi="仿宋_GB2312" w:eastAsia="仿宋_GB2312" w:cs="仿宋_GB2312"/>
          <w:i w:val="0"/>
          <w:iCs w:val="0"/>
          <w:caps w:val="0"/>
          <w:color w:val="333333"/>
          <w:spacing w:val="0"/>
          <w:sz w:val="32"/>
          <w:szCs w:val="32"/>
        </w:rPr>
        <w:t>通过这次自评，进一步提高了我</w:t>
      </w:r>
      <w:r>
        <w:rPr>
          <w:rFonts w:hint="eastAsia" w:ascii="仿宋_GB2312" w:hAnsi="仿宋_GB2312" w:eastAsia="仿宋_GB2312" w:cs="仿宋_GB2312"/>
          <w:i w:val="0"/>
          <w:iCs w:val="0"/>
          <w:caps w:val="0"/>
          <w:color w:val="333333"/>
          <w:spacing w:val="0"/>
          <w:sz w:val="32"/>
          <w:szCs w:val="32"/>
          <w:lang w:eastAsia="zh-CN"/>
        </w:rPr>
        <w:t>单位</w:t>
      </w:r>
      <w:r>
        <w:rPr>
          <w:rFonts w:hint="eastAsia" w:ascii="仿宋_GB2312" w:hAnsi="仿宋_GB2312" w:eastAsia="仿宋_GB2312" w:cs="仿宋_GB2312"/>
          <w:i w:val="0"/>
          <w:iCs w:val="0"/>
          <w:caps w:val="0"/>
          <w:color w:val="333333"/>
          <w:spacing w:val="0"/>
          <w:sz w:val="32"/>
          <w:szCs w:val="32"/>
        </w:rPr>
        <w:t>的绩效管理水平，更加认识到了绩效管理对部门综合管理提升的重要性，自评结果将用于</w:t>
      </w:r>
      <w:r>
        <w:rPr>
          <w:rFonts w:hint="default" w:ascii="Times New Roman" w:hAnsi="Times New Roman" w:eastAsia="微软雅黑" w:cs="Times New Roman"/>
          <w:i w:val="0"/>
          <w:iCs w:val="0"/>
          <w:caps w:val="0"/>
          <w:color w:val="333333"/>
          <w:spacing w:val="0"/>
          <w:sz w:val="32"/>
          <w:szCs w:val="32"/>
        </w:rPr>
        <w:t>202</w:t>
      </w:r>
      <w:r>
        <w:rPr>
          <w:rFonts w:hint="eastAsia" w:ascii="Times New Roman" w:hAnsi="Times New Roman" w:eastAsia="微软雅黑" w:cs="Times New Roman"/>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年及以后年度编制部门预算的重要参考和日常管理的标靶，吸取经验，改进工作</w:t>
      </w:r>
      <w:r>
        <w:rPr>
          <w:rFonts w:hint="eastAsia" w:ascii="仿宋_GB2312" w:hAnsi="仿宋_GB2312" w:eastAsia="仿宋_GB2312" w:cs="仿宋_GB2312"/>
          <w:i w:val="0"/>
          <w:iCs w:val="0"/>
          <w:caps w:val="0"/>
          <w:color w:val="333333"/>
          <w:spacing w:val="0"/>
          <w:sz w:val="32"/>
          <w:szCs w:val="32"/>
          <w:lang w:eastAsia="zh-CN"/>
        </w:rPr>
        <w:t>方法</w:t>
      </w:r>
      <w:r>
        <w:rPr>
          <w:rFonts w:hint="eastAsia" w:ascii="仿宋_GB2312" w:hAnsi="仿宋_GB2312" w:eastAsia="仿宋_GB2312" w:cs="仿宋_GB2312"/>
          <w:i w:val="0"/>
          <w:iCs w:val="0"/>
          <w:caps w:val="0"/>
          <w:color w:val="333333"/>
          <w:spacing w:val="0"/>
          <w:sz w:val="32"/>
          <w:szCs w:val="32"/>
        </w:rPr>
        <w:t>，让工作与绩效目标匹配，让成果与工作推进互动。</w:t>
      </w:r>
    </w:p>
    <w:p>
      <w:pPr>
        <w:ind w:firstLine="1600" w:firstLineChars="500"/>
        <w:jc w:val="left"/>
        <w:rPr>
          <w:rFonts w:hint="eastAsia" w:ascii="仿宋" w:hAnsi="仿宋" w:eastAsia="仿宋" w:cs="仿宋"/>
          <w:color w:val="auto"/>
          <w:sz w:val="32"/>
          <w:szCs w:val="32"/>
        </w:rPr>
      </w:pPr>
    </w:p>
    <w:p>
      <w:pPr>
        <w:jc w:val="left"/>
        <w:rPr>
          <w:rFonts w:hint="eastAsia" w:ascii="仿宋" w:hAnsi="仿宋" w:eastAsia="仿宋" w:cs="仿宋"/>
          <w:color w:val="auto"/>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val="en-US" w:eastAsia="zh-CN"/>
        </w:rPr>
        <w:t>环江县本</w:t>
      </w:r>
      <w:bookmarkStart w:id="6" w:name="_GoBack"/>
      <w:bookmarkEnd w:id="6"/>
      <w:r>
        <w:rPr>
          <w:rFonts w:hint="eastAsia" w:ascii="仿宋_GB2312" w:eastAsia="仿宋_GB2312"/>
          <w:sz w:val="32"/>
          <w:szCs w:val="32"/>
          <w:lang w:eastAsia="zh-CN"/>
        </w:rPr>
        <w:t>级</w:t>
      </w:r>
      <w:r>
        <w:rPr>
          <w:rFonts w:hint="eastAsia" w:ascii="仿宋_GB2312" w:eastAsia="仿宋_GB2312"/>
          <w:sz w:val="32"/>
          <w:szCs w:val="32"/>
        </w:rPr>
        <w:t>财政部门当年拨付</w:t>
      </w:r>
      <w:r>
        <w:rPr>
          <w:rFonts w:hint="eastAsia" w:ascii="仿宋_GB2312" w:eastAsia="仿宋_GB2312"/>
          <w:sz w:val="32"/>
          <w:szCs w:val="32"/>
          <w:lang w:eastAsia="zh-CN"/>
        </w:rPr>
        <w:t>给医疗卫生单位</w:t>
      </w:r>
      <w:r>
        <w:rPr>
          <w:rFonts w:hint="eastAsia" w:ascii="仿宋_GB2312" w:eastAsia="仿宋_GB2312"/>
          <w:sz w:val="32"/>
          <w:szCs w:val="32"/>
        </w:rPr>
        <w:t xml:space="preserve">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w:t>
      </w:r>
      <w:r>
        <w:rPr>
          <w:rFonts w:hint="eastAsia" w:ascii="仿宋_GB2312" w:eastAsia="仿宋_GB2312"/>
          <w:sz w:val="32"/>
          <w:szCs w:val="32"/>
          <w:lang w:eastAsia="zh-CN"/>
        </w:rPr>
        <w:t>医疗卫生</w:t>
      </w:r>
      <w:r>
        <w:rPr>
          <w:rFonts w:hint="eastAsia" w:ascii="仿宋_GB2312" w:eastAsia="仿宋_GB2312"/>
          <w:sz w:val="32"/>
          <w:szCs w:val="32"/>
        </w:rPr>
        <w:t>单位开展</w:t>
      </w:r>
      <w:r>
        <w:rPr>
          <w:rFonts w:hint="eastAsia" w:ascii="仿宋_GB2312" w:eastAsia="仿宋_GB2312"/>
          <w:sz w:val="32"/>
          <w:szCs w:val="32"/>
          <w:lang w:eastAsia="zh-CN"/>
        </w:rPr>
        <w:t>医疗卫生</w:t>
      </w:r>
      <w:r>
        <w:rPr>
          <w:rFonts w:hint="eastAsia" w:ascii="仿宋_GB2312" w:eastAsia="仿宋_GB2312"/>
          <w:sz w:val="32"/>
          <w:szCs w:val="32"/>
        </w:rPr>
        <w:t>业务活动及所取得的收入。</w:t>
      </w:r>
    </w:p>
    <w:p>
      <w:pPr>
        <w:ind w:firstLine="64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、其他收入：指</w:t>
      </w:r>
      <w:r>
        <w:rPr>
          <w:rFonts w:hint="eastAsia" w:ascii="仿宋_GB2312" w:eastAsia="仿宋_GB2312"/>
          <w:sz w:val="32"/>
          <w:szCs w:val="32"/>
          <w:lang w:eastAsia="zh-CN"/>
        </w:rPr>
        <w:t>各医疗卫生单位的利息及废旧处理等</w:t>
      </w:r>
      <w:r>
        <w:rPr>
          <w:rFonts w:hint="eastAsia" w:ascii="仿宋_GB2312" w:eastAsia="仿宋_GB2312"/>
          <w:sz w:val="32"/>
          <w:szCs w:val="32"/>
        </w:rPr>
        <w:t>收入。</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、用事业基金弥补收支差额指</w:t>
      </w:r>
      <w:r>
        <w:rPr>
          <w:rFonts w:hint="eastAsia" w:ascii="仿宋_GB2312" w:eastAsia="仿宋_GB2312"/>
          <w:sz w:val="32"/>
          <w:szCs w:val="32"/>
          <w:lang w:eastAsia="zh-CN"/>
        </w:rPr>
        <w:t>部分医疗</w:t>
      </w:r>
      <w:r>
        <w:rPr>
          <w:rFonts w:hint="eastAsia" w:ascii="仿宋_GB2312" w:eastAsia="仿宋_GB2312"/>
          <w:sz w:val="32"/>
          <w:szCs w:val="32"/>
        </w:rPr>
        <w:t>单位在当年的</w:t>
      </w:r>
      <w:r>
        <w:rPr>
          <w:rFonts w:hint="eastAsia" w:ascii="仿宋_GB2312" w:eastAsia="仿宋_GB2312"/>
          <w:sz w:val="32"/>
          <w:szCs w:val="32"/>
          <w:lang w:eastAsia="zh-CN"/>
        </w:rPr>
        <w:t>部分医疗单业务支出大于收入的情况下</w:t>
      </w:r>
      <w:r>
        <w:rPr>
          <w:rFonts w:hint="eastAsia" w:ascii="仿宋_GB2312" w:eastAsia="仿宋_GB2312"/>
          <w:sz w:val="32"/>
          <w:szCs w:val="32"/>
        </w:rPr>
        <w:t>，使用以前年度积累的事业</w:t>
      </w:r>
      <w:r>
        <w:rPr>
          <w:rFonts w:hint="eastAsia" w:ascii="仿宋_GB2312" w:eastAsia="仿宋_GB2312"/>
          <w:sz w:val="32"/>
          <w:szCs w:val="32"/>
          <w:lang w:eastAsia="zh-CN"/>
        </w:rPr>
        <w:t>发展</w:t>
      </w:r>
      <w:r>
        <w:rPr>
          <w:rFonts w:hint="eastAsia" w:ascii="仿宋_GB2312" w:eastAsia="仿宋_GB2312"/>
          <w:sz w:val="32"/>
          <w:szCs w:val="32"/>
        </w:rPr>
        <w:t xml:space="preserve">基金（按国家规定提取、用于弥补以后年度收支差额的基金）弥补本年度收支缺口的资金。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、年初结转和结余：指以前年度</w:t>
      </w:r>
      <w:r>
        <w:rPr>
          <w:rFonts w:hint="eastAsia" w:ascii="仿宋_GB2312" w:eastAsia="仿宋_GB2312"/>
          <w:sz w:val="32"/>
          <w:szCs w:val="32"/>
          <w:lang w:eastAsia="zh-CN"/>
        </w:rPr>
        <w:t>项目</w:t>
      </w:r>
      <w:r>
        <w:rPr>
          <w:rFonts w:hint="eastAsia" w:ascii="仿宋_GB2312" w:eastAsia="仿宋_GB2312"/>
          <w:sz w:val="32"/>
          <w:szCs w:val="32"/>
        </w:rPr>
        <w:t xml:space="preserve">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、结余分配：指</w:t>
      </w:r>
      <w:r>
        <w:rPr>
          <w:rFonts w:hint="eastAsia" w:ascii="仿宋_GB2312" w:eastAsia="仿宋_GB2312" w:cs="仿宋_GB2312"/>
          <w:kern w:val="0"/>
          <w:sz w:val="32"/>
          <w:szCs w:val="32"/>
          <w:lang w:eastAsia="zh-CN"/>
        </w:rPr>
        <w:t>医疗</w:t>
      </w:r>
      <w:r>
        <w:rPr>
          <w:rFonts w:hint="eastAsia" w:ascii="仿宋_GB2312" w:eastAsia="仿宋_GB2312" w:cs="仿宋_GB2312"/>
          <w:kern w:val="0"/>
          <w:sz w:val="32"/>
          <w:szCs w:val="32"/>
        </w:rPr>
        <w:t>单位</w:t>
      </w:r>
      <w:r>
        <w:rPr>
          <w:rFonts w:hint="eastAsia" w:ascii="仿宋_GB2312" w:eastAsia="仿宋_GB2312" w:cs="仿宋_GB2312"/>
          <w:kern w:val="0"/>
          <w:sz w:val="32"/>
          <w:szCs w:val="32"/>
          <w:lang w:eastAsia="zh-CN"/>
        </w:rPr>
        <w:t>实现业务收支结余后，</w:t>
      </w:r>
      <w:r>
        <w:rPr>
          <w:rFonts w:hint="eastAsia" w:ascii="仿宋_GB2312" w:eastAsia="仿宋_GB2312" w:cs="仿宋_GB2312"/>
          <w:kern w:val="0"/>
          <w:sz w:val="32"/>
          <w:szCs w:val="32"/>
        </w:rPr>
        <w:t>按规定提取的职工福利基金、</w:t>
      </w:r>
      <w:r>
        <w:rPr>
          <w:rFonts w:hint="eastAsia" w:ascii="仿宋_GB2312" w:eastAsia="仿宋_GB2312" w:cs="仿宋_GB2312"/>
          <w:kern w:val="0"/>
          <w:sz w:val="32"/>
          <w:szCs w:val="32"/>
          <w:lang w:eastAsia="zh-CN"/>
        </w:rPr>
        <w:t>奖励基金及</w:t>
      </w:r>
      <w:r>
        <w:rPr>
          <w:rFonts w:hint="eastAsia" w:ascii="仿宋_GB2312" w:eastAsia="仿宋_GB2312" w:cs="仿宋_GB2312"/>
          <w:kern w:val="0"/>
          <w:sz w:val="32"/>
          <w:szCs w:val="32"/>
        </w:rPr>
        <w:t>事业</w:t>
      </w:r>
      <w:r>
        <w:rPr>
          <w:rFonts w:hint="eastAsia" w:ascii="仿宋_GB2312" w:eastAsia="仿宋_GB2312" w:cs="仿宋_GB2312"/>
          <w:kern w:val="0"/>
          <w:sz w:val="32"/>
          <w:szCs w:val="32"/>
          <w:lang w:eastAsia="zh-CN"/>
        </w:rPr>
        <w:t>发展</w:t>
      </w:r>
      <w:r>
        <w:rPr>
          <w:rFonts w:hint="eastAsia" w:ascii="仿宋_GB2312" w:eastAsia="仿宋_GB2312" w:cs="仿宋_GB2312"/>
          <w:kern w:val="0"/>
          <w:sz w:val="32"/>
          <w:szCs w:val="32"/>
        </w:rPr>
        <w:t>基金等。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 xml:space="preserve">、年末结转和结余：指本年度或以前年度预算安排、因客观条件发生变化无法按原计划实施，需要延迟到以后年度按有关规定继续使用的资金。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三公”经费：纳入财政预决算管理的“三公”经费，是指财政拨款安排的公务用车运行费和公务接待费。其中，公务用车运行费反映单位公务用车燃料费、维修费、过路过桥费、保险费等支出；公务接待费反映单位按规定开支的各类公务接待支出。 </w:t>
      </w:r>
    </w:p>
    <w:p>
      <w:pPr>
        <w:ind w:firstLine="640" w:firstLineChars="200"/>
        <w:rPr>
          <w:rFonts w:hint="eastAsia"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一</w:t>
      </w:r>
      <w:r>
        <w:rPr>
          <w:rFonts w:hint="eastAsia" w:ascii="仿宋_GB2312" w:eastAsia="仿宋_GB2312"/>
          <w:sz w:val="32"/>
          <w:szCs w:val="32"/>
        </w:rPr>
        <w:t>、机关运行经费：为保障</w:t>
      </w:r>
      <w:r>
        <w:rPr>
          <w:rFonts w:hint="eastAsia" w:ascii="仿宋_GB2312" w:eastAsia="仿宋_GB2312"/>
          <w:sz w:val="32"/>
          <w:szCs w:val="32"/>
          <w:lang w:eastAsia="zh-CN"/>
        </w:rPr>
        <w:t>委本级</w:t>
      </w:r>
      <w:r>
        <w:rPr>
          <w:rFonts w:hint="eastAsia" w:ascii="仿宋_GB2312" w:eastAsia="仿宋_GB2312"/>
          <w:sz w:val="32"/>
          <w:szCs w:val="32"/>
        </w:rPr>
        <w:t>行政单位（含</w:t>
      </w:r>
      <w:r>
        <w:rPr>
          <w:rFonts w:hint="eastAsia" w:ascii="仿宋_GB2312" w:eastAsia="仿宋_GB2312"/>
          <w:sz w:val="32"/>
          <w:szCs w:val="32"/>
          <w:lang w:eastAsia="zh-CN"/>
        </w:rPr>
        <w:t>红十字会、计生协会</w:t>
      </w:r>
      <w:r>
        <w:rPr>
          <w:rFonts w:hint="eastAsia" w:ascii="仿宋_GB2312" w:eastAsia="仿宋_GB2312"/>
          <w:sz w:val="32"/>
          <w:szCs w:val="32"/>
        </w:rPr>
        <w:t>参公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B387F00"/>
    <w:multiLevelType w:val="singleLevel"/>
    <w:tmpl w:val="AB387F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Q3YmZkMjQxNDllNTVhMWMwNDVjNWFiN2M1Y2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7B5879"/>
    <w:rsid w:val="020C171D"/>
    <w:rsid w:val="0216715F"/>
    <w:rsid w:val="02DA4383"/>
    <w:rsid w:val="02E0291A"/>
    <w:rsid w:val="04E54546"/>
    <w:rsid w:val="05992762"/>
    <w:rsid w:val="07B0770E"/>
    <w:rsid w:val="0942143F"/>
    <w:rsid w:val="0D100297"/>
    <w:rsid w:val="0D202B45"/>
    <w:rsid w:val="0F8D4C87"/>
    <w:rsid w:val="10505FAA"/>
    <w:rsid w:val="105F7E7E"/>
    <w:rsid w:val="11E56B5B"/>
    <w:rsid w:val="125C77AB"/>
    <w:rsid w:val="14CB726E"/>
    <w:rsid w:val="16D246F4"/>
    <w:rsid w:val="170E4165"/>
    <w:rsid w:val="17E92249"/>
    <w:rsid w:val="18D304F1"/>
    <w:rsid w:val="19F32577"/>
    <w:rsid w:val="19F45B80"/>
    <w:rsid w:val="1B0C078D"/>
    <w:rsid w:val="1B2B31E2"/>
    <w:rsid w:val="1B4C295A"/>
    <w:rsid w:val="1B973C63"/>
    <w:rsid w:val="1BA1001E"/>
    <w:rsid w:val="1BDA4B30"/>
    <w:rsid w:val="1D317259"/>
    <w:rsid w:val="1D6334B4"/>
    <w:rsid w:val="1E664F5B"/>
    <w:rsid w:val="1EB34BE1"/>
    <w:rsid w:val="215E639F"/>
    <w:rsid w:val="21EC3183"/>
    <w:rsid w:val="225E72CD"/>
    <w:rsid w:val="246E2F77"/>
    <w:rsid w:val="254B4E2B"/>
    <w:rsid w:val="25ED29DD"/>
    <w:rsid w:val="270701A2"/>
    <w:rsid w:val="283D7C94"/>
    <w:rsid w:val="29480E03"/>
    <w:rsid w:val="2983634D"/>
    <w:rsid w:val="2B94580C"/>
    <w:rsid w:val="2BB02055"/>
    <w:rsid w:val="2C575A56"/>
    <w:rsid w:val="2C6C4635"/>
    <w:rsid w:val="2F257714"/>
    <w:rsid w:val="2F3275E5"/>
    <w:rsid w:val="2FE14FBC"/>
    <w:rsid w:val="30AA08EF"/>
    <w:rsid w:val="30D23D1C"/>
    <w:rsid w:val="31221CF5"/>
    <w:rsid w:val="31400178"/>
    <w:rsid w:val="321E3342"/>
    <w:rsid w:val="327759C8"/>
    <w:rsid w:val="33185FE3"/>
    <w:rsid w:val="34EE2E36"/>
    <w:rsid w:val="36777241"/>
    <w:rsid w:val="38A951DB"/>
    <w:rsid w:val="38B31605"/>
    <w:rsid w:val="39003F4F"/>
    <w:rsid w:val="3B7245D1"/>
    <w:rsid w:val="3C07002B"/>
    <w:rsid w:val="3D0D152A"/>
    <w:rsid w:val="3D154FE4"/>
    <w:rsid w:val="3DF62756"/>
    <w:rsid w:val="3ED05B44"/>
    <w:rsid w:val="3F1B7587"/>
    <w:rsid w:val="3F7E653D"/>
    <w:rsid w:val="3F7F43CC"/>
    <w:rsid w:val="3FA55575"/>
    <w:rsid w:val="40730E06"/>
    <w:rsid w:val="408549C2"/>
    <w:rsid w:val="41E57B4F"/>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447871"/>
    <w:rsid w:val="59810274"/>
    <w:rsid w:val="5CA96A00"/>
    <w:rsid w:val="5CF730BC"/>
    <w:rsid w:val="5E5F0DCE"/>
    <w:rsid w:val="5FA40A7B"/>
    <w:rsid w:val="5FD56D29"/>
    <w:rsid w:val="5FEC7F3F"/>
    <w:rsid w:val="60F74BC3"/>
    <w:rsid w:val="617D3BF8"/>
    <w:rsid w:val="61841F6A"/>
    <w:rsid w:val="623007A9"/>
    <w:rsid w:val="637D7558"/>
    <w:rsid w:val="644F19AC"/>
    <w:rsid w:val="65AA4920"/>
    <w:rsid w:val="67694F1E"/>
    <w:rsid w:val="69597934"/>
    <w:rsid w:val="6B964DDC"/>
    <w:rsid w:val="6C783074"/>
    <w:rsid w:val="6D145DE6"/>
    <w:rsid w:val="6D9E65C6"/>
    <w:rsid w:val="6DA81947"/>
    <w:rsid w:val="6EB66DE2"/>
    <w:rsid w:val="6ED3075F"/>
    <w:rsid w:val="6F2A2D4B"/>
    <w:rsid w:val="6F8A0C1E"/>
    <w:rsid w:val="703F45D4"/>
    <w:rsid w:val="715D6546"/>
    <w:rsid w:val="71BE069E"/>
    <w:rsid w:val="73953409"/>
    <w:rsid w:val="73E069A3"/>
    <w:rsid w:val="76295F09"/>
    <w:rsid w:val="78104AA8"/>
    <w:rsid w:val="78E257C5"/>
    <w:rsid w:val="794B35BE"/>
    <w:rsid w:val="7B0A3A31"/>
    <w:rsid w:val="7B3360ED"/>
    <w:rsid w:val="7B3560B5"/>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3</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2023-11-24T09:29:04Z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1559F73865AE4B6597E0A202DAC472A6_13</vt:lpwstr>
  </property>
</Properties>
</file>